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6B1EA" w14:textId="405AEFBE" w:rsidR="00AF0C3F" w:rsidRPr="00B90A22" w:rsidRDefault="00B90A22" w:rsidP="00E52E0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Empfehlung </w:t>
      </w:r>
      <w:r w:rsidR="00AF0C3F" w:rsidRPr="00B90A22">
        <w:rPr>
          <w:rFonts w:ascii="Times New Roman" w:hAnsi="Times New Roman"/>
          <w:b/>
          <w:sz w:val="28"/>
          <w:szCs w:val="28"/>
        </w:rPr>
        <w:t xml:space="preserve">für </w:t>
      </w:r>
      <w:r>
        <w:rPr>
          <w:rFonts w:ascii="Times New Roman" w:hAnsi="Times New Roman"/>
          <w:b/>
          <w:sz w:val="28"/>
          <w:szCs w:val="28"/>
        </w:rPr>
        <w:t>die Bewertung</w:t>
      </w:r>
      <w:r w:rsidR="00AF0C3F" w:rsidRPr="00B90A22">
        <w:rPr>
          <w:rFonts w:ascii="Times New Roman" w:hAnsi="Times New Roman"/>
          <w:b/>
          <w:sz w:val="28"/>
          <w:szCs w:val="28"/>
        </w:rPr>
        <w:t xml:space="preserve"> forschungsbezogener </w:t>
      </w:r>
      <w:r w:rsidR="00E626D8" w:rsidRPr="00B90A22">
        <w:rPr>
          <w:rFonts w:ascii="Times New Roman" w:hAnsi="Times New Roman"/>
          <w:b/>
          <w:sz w:val="28"/>
          <w:szCs w:val="28"/>
        </w:rPr>
        <w:t>Humanb</w:t>
      </w:r>
      <w:r w:rsidR="00AF0C3F" w:rsidRPr="00B90A22">
        <w:rPr>
          <w:rFonts w:ascii="Times New Roman" w:hAnsi="Times New Roman"/>
          <w:b/>
          <w:sz w:val="28"/>
          <w:szCs w:val="28"/>
        </w:rPr>
        <w:t>iobanken</w:t>
      </w:r>
      <w:r>
        <w:rPr>
          <w:rFonts w:ascii="Times New Roman" w:hAnsi="Times New Roman"/>
          <w:b/>
          <w:sz w:val="28"/>
          <w:szCs w:val="28"/>
        </w:rPr>
        <w:t xml:space="preserve"> durch Ethik-Kommissionen</w:t>
      </w:r>
    </w:p>
    <w:p w14:paraId="16FC8961" w14:textId="256F1AAB" w:rsidR="007410EA" w:rsidRPr="000846F7" w:rsidRDefault="000846F7" w:rsidP="004A396C">
      <w:pPr>
        <w:spacing w:after="1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</w:t>
      </w:r>
      <w:r w:rsidR="007410EA" w:rsidRPr="000846F7">
        <w:rPr>
          <w:rFonts w:ascii="Times New Roman" w:hAnsi="Times New Roman"/>
          <w:sz w:val="24"/>
          <w:szCs w:val="28"/>
        </w:rPr>
        <w:t>mpfohlen vom Arbeitskreis Medizinischer Ethik-Kommissionen</w:t>
      </w:r>
    </w:p>
    <w:p w14:paraId="6932F438" w14:textId="712F16B1" w:rsidR="00AF0C3F" w:rsidRDefault="007410EA" w:rsidP="004A396C">
      <w:pPr>
        <w:spacing w:after="120"/>
        <w:jc w:val="center"/>
        <w:rPr>
          <w:rFonts w:ascii="Times New Roman" w:hAnsi="Times New Roman"/>
          <w:sz w:val="24"/>
          <w:szCs w:val="28"/>
        </w:rPr>
      </w:pPr>
      <w:r w:rsidRPr="000846F7">
        <w:rPr>
          <w:rFonts w:ascii="Times New Roman" w:hAnsi="Times New Roman"/>
          <w:sz w:val="24"/>
          <w:szCs w:val="28"/>
        </w:rPr>
        <w:t>gemäß Beschluss vom 19.6.2015</w:t>
      </w:r>
    </w:p>
    <w:p w14:paraId="23541552" w14:textId="77777777" w:rsidR="000846F7" w:rsidRPr="000846F7" w:rsidRDefault="000846F7" w:rsidP="004A396C">
      <w:pPr>
        <w:spacing w:after="120"/>
        <w:jc w:val="center"/>
        <w:rPr>
          <w:rFonts w:ascii="Times New Roman" w:hAnsi="Times New Roman"/>
          <w:szCs w:val="24"/>
        </w:rPr>
      </w:pPr>
    </w:p>
    <w:p w14:paraId="62CFEB9F" w14:textId="588F9ABB" w:rsidR="00ED0B93" w:rsidRDefault="00B744F2" w:rsidP="00E52E0E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B90A22">
        <w:rPr>
          <w:rFonts w:ascii="Times New Roman" w:hAnsi="Times New Roman"/>
          <w:i/>
          <w:sz w:val="24"/>
          <w:szCs w:val="24"/>
        </w:rPr>
        <w:t xml:space="preserve">Diese Handreichung richtet sich an Ethik-Kommissionen, die sich mit Anträgen im Kontext von Humanbiobanken zu befassen haben. </w:t>
      </w:r>
      <w:r w:rsidR="001A5FEE" w:rsidRPr="00B90A22">
        <w:rPr>
          <w:rFonts w:ascii="Times New Roman" w:hAnsi="Times New Roman"/>
          <w:i/>
          <w:sz w:val="24"/>
          <w:szCs w:val="24"/>
        </w:rPr>
        <w:t>Sie spezifiziert A</w:t>
      </w:r>
      <w:r w:rsidRPr="00B90A22">
        <w:rPr>
          <w:rFonts w:ascii="Times New Roman" w:hAnsi="Times New Roman"/>
          <w:i/>
          <w:sz w:val="24"/>
          <w:szCs w:val="24"/>
        </w:rPr>
        <w:t>nforderungen und Beurteilung</w:t>
      </w:r>
      <w:r w:rsidRPr="00B90A22">
        <w:rPr>
          <w:rFonts w:ascii="Times New Roman" w:hAnsi="Times New Roman"/>
          <w:i/>
          <w:sz w:val="24"/>
          <w:szCs w:val="24"/>
        </w:rPr>
        <w:t>s</w:t>
      </w:r>
      <w:r w:rsidRPr="00B90A22">
        <w:rPr>
          <w:rFonts w:ascii="Times New Roman" w:hAnsi="Times New Roman"/>
          <w:i/>
          <w:sz w:val="24"/>
          <w:szCs w:val="24"/>
        </w:rPr>
        <w:t xml:space="preserve">maßstäbe für die </w:t>
      </w:r>
      <w:r w:rsidR="001A5FEE" w:rsidRPr="00B90A22">
        <w:rPr>
          <w:rFonts w:ascii="Times New Roman" w:hAnsi="Times New Roman"/>
          <w:i/>
          <w:sz w:val="24"/>
          <w:szCs w:val="24"/>
        </w:rPr>
        <w:t xml:space="preserve">ethisch-rechtliche </w:t>
      </w:r>
      <w:r w:rsidRPr="00B90A22">
        <w:rPr>
          <w:rFonts w:ascii="Times New Roman" w:hAnsi="Times New Roman"/>
          <w:i/>
          <w:sz w:val="24"/>
          <w:szCs w:val="24"/>
        </w:rPr>
        <w:t>Bewertung der Errichtung und des Betriebs von Bioba</w:t>
      </w:r>
      <w:r w:rsidRPr="00B90A22">
        <w:rPr>
          <w:rFonts w:ascii="Times New Roman" w:hAnsi="Times New Roman"/>
          <w:i/>
          <w:sz w:val="24"/>
          <w:szCs w:val="24"/>
        </w:rPr>
        <w:t>n</w:t>
      </w:r>
      <w:r w:rsidRPr="00B90A22">
        <w:rPr>
          <w:rFonts w:ascii="Times New Roman" w:hAnsi="Times New Roman"/>
          <w:i/>
          <w:sz w:val="24"/>
          <w:szCs w:val="24"/>
        </w:rPr>
        <w:t>ken</w:t>
      </w:r>
      <w:r w:rsidR="00ED0B93">
        <w:rPr>
          <w:rFonts w:ascii="Times New Roman" w:hAnsi="Times New Roman"/>
          <w:i/>
          <w:sz w:val="24"/>
          <w:szCs w:val="24"/>
        </w:rPr>
        <w:t xml:space="preserve">. </w:t>
      </w:r>
      <w:r w:rsidR="001D15F0">
        <w:rPr>
          <w:rFonts w:ascii="Times New Roman" w:hAnsi="Times New Roman"/>
          <w:i/>
          <w:sz w:val="24"/>
          <w:szCs w:val="24"/>
        </w:rPr>
        <w:t xml:space="preserve">Die Handreichung bezieht sich grds. auf alle Biobanken, unabhängig von ihrer Größe, Projektbezogenheit oder sonstigen Ausgestaltung. </w:t>
      </w:r>
      <w:r w:rsidR="00ED0B93">
        <w:rPr>
          <w:rFonts w:ascii="Times New Roman" w:hAnsi="Times New Roman"/>
          <w:i/>
          <w:sz w:val="24"/>
          <w:szCs w:val="24"/>
        </w:rPr>
        <w:t>Ggf. ist jedoch bei einzelnen Anforderu</w:t>
      </w:r>
      <w:r w:rsidR="00ED0B93">
        <w:rPr>
          <w:rFonts w:ascii="Times New Roman" w:hAnsi="Times New Roman"/>
          <w:i/>
          <w:sz w:val="24"/>
          <w:szCs w:val="24"/>
        </w:rPr>
        <w:t>n</w:t>
      </w:r>
      <w:r w:rsidR="00ED0B93">
        <w:rPr>
          <w:rFonts w:ascii="Times New Roman" w:hAnsi="Times New Roman"/>
          <w:i/>
          <w:sz w:val="24"/>
          <w:szCs w:val="24"/>
        </w:rPr>
        <w:t>gen den Besonderheiten der jeweiligen Biobank Rechnung zu tragen.</w:t>
      </w:r>
    </w:p>
    <w:p w14:paraId="5D8F2673" w14:textId="77777777" w:rsidR="00B744F2" w:rsidRPr="00B90A22" w:rsidRDefault="00ED0B93" w:rsidP="00E52E0E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Die Handreichung</w:t>
      </w:r>
      <w:r w:rsidR="00A829E7" w:rsidRPr="00B90A22">
        <w:rPr>
          <w:rFonts w:ascii="Times New Roman" w:hAnsi="Times New Roman"/>
          <w:i/>
          <w:sz w:val="24"/>
          <w:szCs w:val="24"/>
        </w:rPr>
        <w:t xml:space="preserve"> ist </w:t>
      </w:r>
      <w:r w:rsidR="001A5FEE" w:rsidRPr="00B90A22">
        <w:rPr>
          <w:rFonts w:ascii="Times New Roman" w:hAnsi="Times New Roman"/>
          <w:i/>
          <w:sz w:val="24"/>
          <w:szCs w:val="24"/>
        </w:rPr>
        <w:t xml:space="preserve">im Zusammenhang mit dem </w:t>
      </w:r>
      <w:r w:rsidR="00B744F2" w:rsidRPr="00B90A22">
        <w:rPr>
          <w:rFonts w:ascii="Times New Roman" w:hAnsi="Times New Roman"/>
          <w:i/>
          <w:sz w:val="24"/>
          <w:szCs w:val="24"/>
        </w:rPr>
        <w:t>Mustertext des Arbeitskreises zur Spende</w:t>
      </w:r>
      <w:r w:rsidR="00344CB4" w:rsidRPr="00B90A22">
        <w:rPr>
          <w:rFonts w:ascii="Times New Roman" w:hAnsi="Times New Roman"/>
          <w:i/>
          <w:sz w:val="24"/>
          <w:szCs w:val="24"/>
        </w:rPr>
        <w:t xml:space="preserve">, Einlagerung und Nutzung von Biomaterialien sowie zur Erhebung, Verarbeitung und Nutzung von Daten in Biobanken vom 9.11.2013 </w:t>
      </w:r>
      <w:r w:rsidR="001A5FEE" w:rsidRPr="00B90A22">
        <w:rPr>
          <w:rFonts w:ascii="Times New Roman" w:hAnsi="Times New Roman"/>
          <w:i/>
          <w:sz w:val="24"/>
          <w:szCs w:val="24"/>
        </w:rPr>
        <w:t xml:space="preserve">zu lesen. </w:t>
      </w:r>
      <w:r w:rsidR="00344CB4" w:rsidRPr="00B90A22">
        <w:rPr>
          <w:rFonts w:ascii="Times New Roman" w:hAnsi="Times New Roman"/>
          <w:i/>
          <w:sz w:val="24"/>
          <w:szCs w:val="24"/>
        </w:rPr>
        <w:t>Dieser</w:t>
      </w:r>
      <w:r w:rsidR="001A5FEE" w:rsidRPr="00B90A22">
        <w:rPr>
          <w:rFonts w:ascii="Times New Roman" w:hAnsi="Times New Roman"/>
          <w:i/>
          <w:sz w:val="24"/>
          <w:szCs w:val="24"/>
        </w:rPr>
        <w:t xml:space="preserve"> Mustertext enthält bereits zentrale Anforderungen, über welche die Spender aufzuklären sind.</w:t>
      </w:r>
    </w:p>
    <w:p w14:paraId="57C2F500" w14:textId="77777777" w:rsidR="00AF0C3F" w:rsidRPr="00B90A22" w:rsidRDefault="00AF0C3F" w:rsidP="00A86D47">
      <w:pPr>
        <w:pStyle w:val="berschrift11"/>
        <w:tabs>
          <w:tab w:val="left" w:pos="70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Einleitung</w:t>
      </w:r>
      <w:r w:rsidR="001A5FEE" w:rsidRPr="00B90A22">
        <w:rPr>
          <w:rFonts w:ascii="Times New Roman" w:hAnsi="Times New Roman"/>
          <w:sz w:val="24"/>
          <w:szCs w:val="24"/>
        </w:rPr>
        <w:tab/>
      </w:r>
    </w:p>
    <w:p w14:paraId="6D3DD810" w14:textId="77777777" w:rsidR="00AF0C3F" w:rsidRPr="00B90A22" w:rsidRDefault="00AF0C3F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Biobanken sind eine wichtige Ressource der medizinischen Forschung. Bei ihrer Errichtung und ihrem Betrieb </w:t>
      </w:r>
      <w:r w:rsidR="00907CA4" w:rsidRPr="00B90A22">
        <w:rPr>
          <w:rFonts w:ascii="Times New Roman" w:hAnsi="Times New Roman"/>
          <w:sz w:val="24"/>
          <w:szCs w:val="24"/>
        </w:rPr>
        <w:t>sind das Interesse an medizinischer Forschung und die Forschungsfreiheit mit den</w:t>
      </w:r>
      <w:r w:rsidRPr="00B90A22">
        <w:rPr>
          <w:rFonts w:ascii="Times New Roman" w:hAnsi="Times New Roman"/>
          <w:sz w:val="24"/>
          <w:szCs w:val="24"/>
        </w:rPr>
        <w:t xml:space="preserve"> Rechte</w:t>
      </w:r>
      <w:r w:rsidR="001E6CAC" w:rsidRPr="00B90A22">
        <w:rPr>
          <w:rFonts w:ascii="Times New Roman" w:hAnsi="Times New Roman"/>
          <w:sz w:val="24"/>
          <w:szCs w:val="24"/>
        </w:rPr>
        <w:t>n</w:t>
      </w:r>
      <w:r w:rsidRPr="00B90A22">
        <w:rPr>
          <w:rFonts w:ascii="Times New Roman" w:hAnsi="Times New Roman"/>
          <w:sz w:val="24"/>
          <w:szCs w:val="24"/>
        </w:rPr>
        <w:t xml:space="preserve"> und Interessen der Spender, insbesondere ihre</w:t>
      </w:r>
      <w:r w:rsidR="001E6CAC" w:rsidRPr="00B90A22">
        <w:rPr>
          <w:rFonts w:ascii="Times New Roman" w:hAnsi="Times New Roman"/>
          <w:sz w:val="24"/>
          <w:szCs w:val="24"/>
        </w:rPr>
        <w:t>m</w:t>
      </w:r>
      <w:r w:rsidRPr="00B90A22">
        <w:rPr>
          <w:rFonts w:ascii="Times New Roman" w:hAnsi="Times New Roman"/>
          <w:sz w:val="24"/>
          <w:szCs w:val="24"/>
        </w:rPr>
        <w:t xml:space="preserve"> Selbstbestimmungsrecht,</w:t>
      </w:r>
      <w:r w:rsidR="001E6CAC" w:rsidRPr="00B90A22">
        <w:rPr>
          <w:rFonts w:ascii="Times New Roman" w:hAnsi="Times New Roman"/>
          <w:sz w:val="24"/>
          <w:szCs w:val="24"/>
        </w:rPr>
        <w:t xml:space="preserve"> in Einklang zu bringen.</w:t>
      </w:r>
    </w:p>
    <w:p w14:paraId="7896E08F" w14:textId="77777777" w:rsidR="00AF0C3F" w:rsidRPr="00B90A22" w:rsidRDefault="00AF0C3F" w:rsidP="00E52E0E">
      <w:pPr>
        <w:pStyle w:val="berschrift11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1. Begriffsbildung und Anwendungsbereich der Handreichung</w:t>
      </w:r>
    </w:p>
    <w:p w14:paraId="4F31CCCD" w14:textId="77777777" w:rsidR="00AF0C3F" w:rsidRDefault="00AF0C3F" w:rsidP="003C7EC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37101">
        <w:rPr>
          <w:rFonts w:ascii="Times New Roman" w:hAnsi="Times New Roman"/>
          <w:sz w:val="24"/>
          <w:szCs w:val="24"/>
        </w:rPr>
        <w:t>Eine Biobank im Sinne dieser Handreichung ist die Sammlung und Archivierung von mensch</w:t>
      </w:r>
      <w:r w:rsidR="003D6E48" w:rsidRPr="00D37101">
        <w:rPr>
          <w:rFonts w:ascii="Times New Roman" w:hAnsi="Times New Roman"/>
          <w:sz w:val="24"/>
          <w:szCs w:val="24"/>
        </w:rPr>
        <w:softHyphen/>
      </w:r>
      <w:r w:rsidR="003D6E48" w:rsidRPr="00D37101">
        <w:rPr>
          <w:rFonts w:ascii="Times New Roman" w:hAnsi="Times New Roman"/>
          <w:sz w:val="24"/>
          <w:szCs w:val="24"/>
        </w:rPr>
        <w:softHyphen/>
      </w:r>
      <w:r w:rsidRPr="00D37101">
        <w:rPr>
          <w:rFonts w:ascii="Times New Roman" w:hAnsi="Times New Roman"/>
          <w:sz w:val="24"/>
          <w:szCs w:val="24"/>
        </w:rPr>
        <w:t xml:space="preserve">lichen Biomaterialien und zugehörigen Daten zu </w:t>
      </w:r>
      <w:r w:rsidR="003F0671" w:rsidRPr="00D37101">
        <w:rPr>
          <w:rFonts w:ascii="Times New Roman" w:hAnsi="Times New Roman"/>
          <w:sz w:val="24"/>
          <w:szCs w:val="24"/>
        </w:rPr>
        <w:t>Zwecken medizinischer Forschung</w:t>
      </w:r>
      <w:r w:rsidRPr="00D37101">
        <w:rPr>
          <w:rFonts w:ascii="Times New Roman" w:hAnsi="Times New Roman"/>
          <w:sz w:val="24"/>
          <w:szCs w:val="24"/>
        </w:rPr>
        <w:t>.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3F0671" w:rsidRPr="00B90A22">
        <w:rPr>
          <w:rFonts w:ascii="Times New Roman" w:hAnsi="Times New Roman"/>
          <w:sz w:val="24"/>
          <w:szCs w:val="24"/>
        </w:rPr>
        <w:t>Die medizinische Forschung umfasst die Grundlagenforschung sowie die angewandte Fo</w:t>
      </w:r>
      <w:r w:rsidR="003F0671" w:rsidRPr="00B90A22">
        <w:rPr>
          <w:rFonts w:ascii="Times New Roman" w:hAnsi="Times New Roman"/>
          <w:sz w:val="24"/>
          <w:szCs w:val="24"/>
        </w:rPr>
        <w:t>r</w:t>
      </w:r>
      <w:r w:rsidR="003F0671" w:rsidRPr="00B90A22">
        <w:rPr>
          <w:rFonts w:ascii="Times New Roman" w:hAnsi="Times New Roman"/>
          <w:sz w:val="24"/>
          <w:szCs w:val="24"/>
        </w:rPr>
        <w:t>schung für das Erkennen von Krankheiten (Diagnostik)</w:t>
      </w:r>
      <w:r w:rsidR="00EF0D6F">
        <w:rPr>
          <w:rFonts w:ascii="Times New Roman" w:hAnsi="Times New Roman"/>
          <w:sz w:val="24"/>
          <w:szCs w:val="24"/>
        </w:rPr>
        <w:t xml:space="preserve">, die </w:t>
      </w:r>
      <w:r w:rsidR="00373695">
        <w:rPr>
          <w:rFonts w:ascii="Times New Roman" w:hAnsi="Times New Roman"/>
          <w:sz w:val="24"/>
          <w:szCs w:val="24"/>
        </w:rPr>
        <w:t>Vorhersage</w:t>
      </w:r>
      <w:r w:rsidR="00EF0D6F">
        <w:rPr>
          <w:rFonts w:ascii="Times New Roman" w:hAnsi="Times New Roman"/>
          <w:sz w:val="24"/>
          <w:szCs w:val="24"/>
        </w:rPr>
        <w:t xml:space="preserve"> ihres Verlaufs (Pro</w:t>
      </w:r>
      <w:r w:rsidR="00EF0D6F">
        <w:rPr>
          <w:rFonts w:ascii="Times New Roman" w:hAnsi="Times New Roman"/>
          <w:sz w:val="24"/>
          <w:szCs w:val="24"/>
        </w:rPr>
        <w:t>g</w:t>
      </w:r>
      <w:r w:rsidR="00EF0D6F">
        <w:rPr>
          <w:rFonts w:ascii="Times New Roman" w:hAnsi="Times New Roman"/>
          <w:sz w:val="24"/>
          <w:szCs w:val="24"/>
        </w:rPr>
        <w:t xml:space="preserve">nose) sowie </w:t>
      </w:r>
      <w:r w:rsidR="003F0671" w:rsidRPr="00B90A22">
        <w:rPr>
          <w:rFonts w:ascii="Times New Roman" w:hAnsi="Times New Roman"/>
          <w:sz w:val="24"/>
          <w:szCs w:val="24"/>
        </w:rPr>
        <w:t xml:space="preserve"> </w:t>
      </w:r>
      <w:r w:rsidR="00EF0D6F">
        <w:rPr>
          <w:rFonts w:ascii="Times New Roman" w:hAnsi="Times New Roman"/>
          <w:sz w:val="24"/>
          <w:szCs w:val="24"/>
        </w:rPr>
        <w:t>ihre</w:t>
      </w:r>
      <w:r w:rsidR="00EF0D6F" w:rsidRPr="00B90A22">
        <w:rPr>
          <w:rFonts w:ascii="Times New Roman" w:hAnsi="Times New Roman"/>
          <w:sz w:val="24"/>
          <w:szCs w:val="24"/>
        </w:rPr>
        <w:t xml:space="preserve"> </w:t>
      </w:r>
      <w:r w:rsidR="003F0671" w:rsidRPr="00B90A22">
        <w:rPr>
          <w:rFonts w:ascii="Times New Roman" w:hAnsi="Times New Roman"/>
          <w:sz w:val="24"/>
          <w:szCs w:val="24"/>
        </w:rPr>
        <w:t xml:space="preserve">Behandlung (Therapie) </w:t>
      </w:r>
      <w:r w:rsidR="00B26C0A">
        <w:rPr>
          <w:rFonts w:ascii="Times New Roman" w:hAnsi="Times New Roman"/>
          <w:sz w:val="24"/>
          <w:szCs w:val="24"/>
        </w:rPr>
        <w:t>und</w:t>
      </w:r>
      <w:r w:rsidR="003F0671" w:rsidRPr="00B90A22">
        <w:rPr>
          <w:rFonts w:ascii="Times New Roman" w:hAnsi="Times New Roman"/>
          <w:sz w:val="24"/>
          <w:szCs w:val="24"/>
        </w:rPr>
        <w:t xml:space="preserve"> Vorbeugung (Prävention).</w:t>
      </w:r>
    </w:p>
    <w:p w14:paraId="448AC23E" w14:textId="77777777" w:rsidR="00ED0B93" w:rsidRPr="00865D71" w:rsidRDefault="00ED0B93" w:rsidP="003C7EC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4"/>
        </w:rPr>
      </w:pPr>
      <w:r w:rsidRPr="00865D71">
        <w:rPr>
          <w:rFonts w:ascii="Times New Roman" w:hAnsi="Times New Roman"/>
          <w:sz w:val="24"/>
        </w:rPr>
        <w:t>Als Biobank in diesem Sinne gilt auch ein durch gemeinsame Verfahrens- und Governancer</w:t>
      </w:r>
      <w:r w:rsidRPr="00865D71">
        <w:rPr>
          <w:rFonts w:ascii="Times New Roman" w:hAnsi="Times New Roman"/>
          <w:sz w:val="24"/>
        </w:rPr>
        <w:t>e</w:t>
      </w:r>
      <w:r w:rsidRPr="00865D71">
        <w:rPr>
          <w:rFonts w:ascii="Times New Roman" w:hAnsi="Times New Roman"/>
          <w:sz w:val="24"/>
        </w:rPr>
        <w:t>geln zusammengefasster Verbund mehrerer Materialsammlungen.</w:t>
      </w:r>
    </w:p>
    <w:p w14:paraId="1A4AA256" w14:textId="77777777" w:rsidR="00AF0C3F" w:rsidRPr="00B90A22" w:rsidRDefault="00AF0C3F" w:rsidP="00E52E0E">
      <w:pPr>
        <w:pStyle w:val="berschrift11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2. Die Rolle der Ethik-Kommissionen bei Errichtung und Betrieb von Biobanken</w:t>
      </w:r>
    </w:p>
    <w:p w14:paraId="3C42809A" w14:textId="77777777" w:rsidR="00AF0C3F" w:rsidRPr="00B90A22" w:rsidRDefault="00AF0C3F" w:rsidP="00E52E0E">
      <w:pPr>
        <w:pStyle w:val="berschrift21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a) Bewertung der Biobank insgesamt</w:t>
      </w:r>
    </w:p>
    <w:p w14:paraId="5E4C7919" w14:textId="7380815B" w:rsidR="00AF0C3F" w:rsidRPr="00B90A22" w:rsidRDefault="00AF0C3F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Die Errichtung einer forschungsbezogenen</w:t>
      </w:r>
      <w:r w:rsidR="00095981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 xml:space="preserve"> Biobank </w:t>
      </w:r>
      <w:r w:rsidR="00A829E7" w:rsidRPr="00B90A22">
        <w:rPr>
          <w:rFonts w:ascii="Times New Roman" w:hAnsi="Times New Roman"/>
          <w:sz w:val="24"/>
          <w:szCs w:val="24"/>
        </w:rPr>
        <w:t xml:space="preserve">durch einen öffentlich-rechtlichen oder privatrechtlichen Träger </w:t>
      </w:r>
      <w:r w:rsidR="00E626D8" w:rsidRPr="00B90A22">
        <w:rPr>
          <w:rFonts w:ascii="Times New Roman" w:hAnsi="Times New Roman"/>
          <w:sz w:val="24"/>
          <w:szCs w:val="24"/>
        </w:rPr>
        <w:t xml:space="preserve">bedarf aus ethischen Gründen </w:t>
      </w:r>
      <w:r w:rsidR="003C7ECE" w:rsidRPr="00B90A22">
        <w:rPr>
          <w:rFonts w:ascii="Times New Roman" w:hAnsi="Times New Roman"/>
          <w:sz w:val="24"/>
          <w:szCs w:val="24"/>
        </w:rPr>
        <w:t>–</w:t>
      </w:r>
      <w:r w:rsidR="00F2499F" w:rsidRPr="00B90A22">
        <w:rPr>
          <w:rFonts w:ascii="Times New Roman" w:hAnsi="Times New Roman"/>
          <w:sz w:val="24"/>
          <w:szCs w:val="24"/>
        </w:rPr>
        <w:t xml:space="preserve"> unabhängig von einer gegebenenfalls bestehenden Rechtspflicht </w:t>
      </w:r>
      <w:r w:rsidR="003C7ECE" w:rsidRPr="00B90A22">
        <w:rPr>
          <w:rFonts w:ascii="Times New Roman" w:hAnsi="Times New Roman"/>
          <w:sz w:val="24"/>
          <w:szCs w:val="24"/>
        </w:rPr>
        <w:t>–</w:t>
      </w:r>
      <w:r w:rsidR="00F2499F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 xml:space="preserve">einer Bewertung </w:t>
      </w:r>
      <w:r w:rsidR="00F2499F" w:rsidRPr="00B90A22">
        <w:rPr>
          <w:rFonts w:ascii="Times New Roman" w:hAnsi="Times New Roman"/>
          <w:sz w:val="24"/>
          <w:szCs w:val="24"/>
        </w:rPr>
        <w:t>einer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791879" w:rsidRPr="00B90A22">
        <w:rPr>
          <w:rFonts w:ascii="Times New Roman" w:hAnsi="Times New Roman"/>
          <w:sz w:val="24"/>
          <w:szCs w:val="24"/>
        </w:rPr>
        <w:t xml:space="preserve">öffentlich-rechtlichen </w:t>
      </w:r>
      <w:r w:rsidRPr="00B90A22">
        <w:rPr>
          <w:rFonts w:ascii="Times New Roman" w:hAnsi="Times New Roman"/>
          <w:sz w:val="24"/>
          <w:szCs w:val="24"/>
        </w:rPr>
        <w:t>Ethik-Kommission. Gleiches gilt für wesentliche Änderungen sowie für die Übertragung der Biobank bzw. ihrer Bestände auf einen anderen Träger.</w:t>
      </w:r>
    </w:p>
    <w:p w14:paraId="36CE962A" w14:textId="77777777" w:rsidR="00AF0C3F" w:rsidRPr="00B90A22" w:rsidRDefault="00AF0C3F" w:rsidP="00E52E0E">
      <w:pPr>
        <w:pStyle w:val="berschrift21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lastRenderedPageBreak/>
        <w:t>b) Bewertung der einzelnen Forschungsvorhaben</w:t>
      </w:r>
    </w:p>
    <w:p w14:paraId="2E639A2F" w14:textId="23EF7FAA" w:rsidR="001218F5" w:rsidRDefault="001105E1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D</w:t>
      </w:r>
      <w:r w:rsidR="00F56D82" w:rsidRPr="00B90A22">
        <w:rPr>
          <w:rFonts w:ascii="Times New Roman" w:hAnsi="Times New Roman"/>
          <w:sz w:val="24"/>
          <w:szCs w:val="24"/>
        </w:rPr>
        <w:t xml:space="preserve">ie Biobank </w:t>
      </w:r>
      <w:r w:rsidRPr="00B90A22">
        <w:rPr>
          <w:rFonts w:ascii="Times New Roman" w:hAnsi="Times New Roman"/>
          <w:sz w:val="24"/>
          <w:szCs w:val="24"/>
        </w:rPr>
        <w:t xml:space="preserve">hat </w:t>
      </w:r>
      <w:r w:rsidR="00AF0C3F" w:rsidRPr="00B90A22">
        <w:rPr>
          <w:rFonts w:ascii="Times New Roman" w:hAnsi="Times New Roman"/>
          <w:sz w:val="24"/>
          <w:szCs w:val="24"/>
        </w:rPr>
        <w:t xml:space="preserve">vor der Herausgabe </w:t>
      </w:r>
      <w:r w:rsidR="008F5E12" w:rsidRPr="00B90A22">
        <w:rPr>
          <w:rFonts w:ascii="Times New Roman" w:hAnsi="Times New Roman"/>
          <w:sz w:val="24"/>
          <w:szCs w:val="24"/>
        </w:rPr>
        <w:t xml:space="preserve">bzw. Verwendung </w:t>
      </w:r>
      <w:r w:rsidR="00AF0C3F" w:rsidRPr="00B90A22">
        <w:rPr>
          <w:rFonts w:ascii="Times New Roman" w:hAnsi="Times New Roman"/>
          <w:sz w:val="24"/>
          <w:szCs w:val="24"/>
        </w:rPr>
        <w:t xml:space="preserve">von Biomaterialien </w:t>
      </w:r>
      <w:r w:rsidR="008F5E12" w:rsidRPr="00B90A22">
        <w:rPr>
          <w:rFonts w:ascii="Times New Roman" w:hAnsi="Times New Roman"/>
          <w:sz w:val="24"/>
          <w:szCs w:val="24"/>
        </w:rPr>
        <w:t xml:space="preserve">bzw. Daten </w:t>
      </w:r>
      <w:r w:rsidR="00AF0C3F" w:rsidRPr="00B90A22">
        <w:rPr>
          <w:rFonts w:ascii="Times New Roman" w:hAnsi="Times New Roman"/>
          <w:sz w:val="24"/>
          <w:szCs w:val="24"/>
        </w:rPr>
        <w:t xml:space="preserve">für </w:t>
      </w:r>
      <w:r w:rsidR="00F56D82" w:rsidRPr="00B90A22">
        <w:rPr>
          <w:rFonts w:ascii="Times New Roman" w:hAnsi="Times New Roman"/>
          <w:sz w:val="24"/>
          <w:szCs w:val="24"/>
        </w:rPr>
        <w:t>ein</w:t>
      </w:r>
      <w:r w:rsidR="00AF0C3F" w:rsidRPr="00B90A22">
        <w:rPr>
          <w:rFonts w:ascii="Times New Roman" w:hAnsi="Times New Roman"/>
          <w:sz w:val="24"/>
          <w:szCs w:val="24"/>
        </w:rPr>
        <w:t xml:space="preserve"> Forschungsvorhaben die Vorlage des Votums </w:t>
      </w:r>
      <w:r w:rsidR="00F56D82" w:rsidRPr="00B90A22">
        <w:rPr>
          <w:rFonts w:ascii="Times New Roman" w:hAnsi="Times New Roman"/>
          <w:sz w:val="24"/>
          <w:szCs w:val="24"/>
        </w:rPr>
        <w:t>einer</w:t>
      </w:r>
      <w:r w:rsidR="00AF0C3F" w:rsidRPr="00B90A22">
        <w:rPr>
          <w:rFonts w:ascii="Times New Roman" w:hAnsi="Times New Roman"/>
          <w:sz w:val="24"/>
          <w:szCs w:val="24"/>
        </w:rPr>
        <w:t xml:space="preserve"> </w:t>
      </w:r>
      <w:r w:rsidR="00A52AE0" w:rsidRPr="00B90A22">
        <w:rPr>
          <w:rFonts w:ascii="Times New Roman" w:hAnsi="Times New Roman"/>
          <w:sz w:val="24"/>
          <w:szCs w:val="24"/>
        </w:rPr>
        <w:t xml:space="preserve">für </w:t>
      </w:r>
      <w:r w:rsidR="0052466D">
        <w:rPr>
          <w:rFonts w:ascii="Times New Roman" w:hAnsi="Times New Roman"/>
          <w:sz w:val="24"/>
          <w:szCs w:val="24"/>
        </w:rPr>
        <w:t>den Forscher bzw. das Fo</w:t>
      </w:r>
      <w:r w:rsidR="0052466D">
        <w:rPr>
          <w:rFonts w:ascii="Times New Roman" w:hAnsi="Times New Roman"/>
          <w:sz w:val="24"/>
          <w:szCs w:val="24"/>
        </w:rPr>
        <w:t>r</w:t>
      </w:r>
      <w:r w:rsidR="0052466D">
        <w:rPr>
          <w:rFonts w:ascii="Times New Roman" w:hAnsi="Times New Roman"/>
          <w:sz w:val="24"/>
          <w:szCs w:val="24"/>
        </w:rPr>
        <w:t>schungsv</w:t>
      </w:r>
      <w:r w:rsidR="00A52AE0" w:rsidRPr="00B90A22">
        <w:rPr>
          <w:rFonts w:ascii="Times New Roman" w:hAnsi="Times New Roman"/>
          <w:sz w:val="24"/>
          <w:szCs w:val="24"/>
        </w:rPr>
        <w:t>or</w:t>
      </w:r>
      <w:r w:rsidR="00A52AE0" w:rsidRPr="001D15F0">
        <w:rPr>
          <w:rFonts w:ascii="Times New Roman" w:hAnsi="Times New Roman"/>
          <w:sz w:val="24"/>
          <w:szCs w:val="24"/>
        </w:rPr>
        <w:t xml:space="preserve">haben </w:t>
      </w:r>
      <w:r w:rsidR="00AF0C3F" w:rsidRPr="001D15F0">
        <w:rPr>
          <w:rFonts w:ascii="Times New Roman" w:hAnsi="Times New Roman"/>
          <w:sz w:val="24"/>
          <w:szCs w:val="24"/>
        </w:rPr>
        <w:t xml:space="preserve">zuständigen Ethik-Kommission </w:t>
      </w:r>
      <w:r w:rsidR="008F5E12" w:rsidRPr="00865D71">
        <w:rPr>
          <w:rFonts w:ascii="Times New Roman" w:hAnsi="Times New Roman"/>
          <w:sz w:val="24"/>
          <w:szCs w:val="24"/>
        </w:rPr>
        <w:t xml:space="preserve">jedenfalls dann </w:t>
      </w:r>
      <w:r w:rsidR="00F56D82" w:rsidRPr="00865D71">
        <w:rPr>
          <w:rFonts w:ascii="Times New Roman" w:hAnsi="Times New Roman"/>
          <w:sz w:val="24"/>
          <w:szCs w:val="24"/>
        </w:rPr>
        <w:t>zu verlangen</w:t>
      </w:r>
      <w:r w:rsidR="00AF0C3F" w:rsidRPr="00865D71">
        <w:rPr>
          <w:rFonts w:ascii="Times New Roman" w:hAnsi="Times New Roman"/>
          <w:sz w:val="24"/>
          <w:szCs w:val="24"/>
        </w:rPr>
        <w:t>,</w:t>
      </w:r>
      <w:r w:rsidR="008F5E12" w:rsidRPr="00865D71">
        <w:rPr>
          <w:rFonts w:ascii="Times New Roman" w:hAnsi="Times New Roman"/>
          <w:sz w:val="24"/>
          <w:szCs w:val="24"/>
        </w:rPr>
        <w:t xml:space="preserve"> wenn ein so</w:t>
      </w:r>
      <w:r w:rsidR="008F5E12" w:rsidRPr="00865D71">
        <w:rPr>
          <w:rFonts w:ascii="Times New Roman" w:hAnsi="Times New Roman"/>
          <w:sz w:val="24"/>
          <w:szCs w:val="24"/>
        </w:rPr>
        <w:t>l</w:t>
      </w:r>
      <w:r w:rsidR="008F5E12" w:rsidRPr="00865D71">
        <w:rPr>
          <w:rFonts w:ascii="Times New Roman" w:hAnsi="Times New Roman"/>
          <w:sz w:val="24"/>
          <w:szCs w:val="24"/>
        </w:rPr>
        <w:t>ches Votum nach rechtlichen Regeln, z.B. nach Berufsrecht,</w:t>
      </w:r>
      <w:r w:rsidR="00373363" w:rsidRPr="00865D71">
        <w:rPr>
          <w:rFonts w:ascii="Times New Roman" w:hAnsi="Times New Roman"/>
          <w:sz w:val="24"/>
          <w:szCs w:val="24"/>
        </w:rPr>
        <w:t xml:space="preserve"> </w:t>
      </w:r>
      <w:r w:rsidR="00FF0D86">
        <w:rPr>
          <w:rFonts w:ascii="Times New Roman" w:hAnsi="Times New Roman"/>
          <w:sz w:val="24"/>
          <w:szCs w:val="24"/>
        </w:rPr>
        <w:t>ggf. i.V.m.</w:t>
      </w:r>
      <w:r w:rsidR="00373363" w:rsidRPr="00865D71">
        <w:rPr>
          <w:rFonts w:ascii="Times New Roman" w:hAnsi="Times New Roman"/>
          <w:sz w:val="24"/>
          <w:szCs w:val="24"/>
        </w:rPr>
        <w:t xml:space="preserve"> der Deklaration von Helsinki</w:t>
      </w:r>
      <w:r w:rsidR="007410EA">
        <w:rPr>
          <w:rFonts w:ascii="Times New Roman" w:hAnsi="Times New Roman"/>
          <w:sz w:val="24"/>
          <w:szCs w:val="24"/>
        </w:rPr>
        <w:t>,</w:t>
      </w:r>
      <w:r w:rsidR="008F5E12" w:rsidRPr="00865D71">
        <w:rPr>
          <w:rFonts w:ascii="Times New Roman" w:hAnsi="Times New Roman"/>
          <w:sz w:val="24"/>
          <w:szCs w:val="24"/>
        </w:rPr>
        <w:t xml:space="preserve"> erforderlich ist</w:t>
      </w:r>
      <w:r w:rsidR="00AF0C3F" w:rsidRPr="00865D71">
        <w:rPr>
          <w:rFonts w:ascii="Times New Roman" w:hAnsi="Times New Roman"/>
          <w:sz w:val="24"/>
          <w:szCs w:val="24"/>
        </w:rPr>
        <w:t>.</w:t>
      </w:r>
      <w:r w:rsidR="00A52AE0" w:rsidRPr="001D15F0">
        <w:rPr>
          <w:rFonts w:ascii="Times New Roman" w:hAnsi="Times New Roman"/>
          <w:sz w:val="24"/>
          <w:szCs w:val="24"/>
        </w:rPr>
        <w:t xml:space="preserve"> </w:t>
      </w:r>
      <w:r w:rsidR="00557F73" w:rsidRPr="001D15F0">
        <w:rPr>
          <w:rFonts w:ascii="Times New Roman" w:hAnsi="Times New Roman"/>
          <w:sz w:val="24"/>
          <w:szCs w:val="24"/>
        </w:rPr>
        <w:t xml:space="preserve">Unberührt davon bleibt </w:t>
      </w:r>
      <w:r w:rsidR="005669CA" w:rsidRPr="001D15F0">
        <w:rPr>
          <w:rFonts w:ascii="Times New Roman" w:hAnsi="Times New Roman"/>
          <w:sz w:val="24"/>
          <w:szCs w:val="24"/>
        </w:rPr>
        <w:t xml:space="preserve">die Möglichkeit oder ggf. </w:t>
      </w:r>
      <w:r w:rsidR="00557F73" w:rsidRPr="001D15F0">
        <w:rPr>
          <w:rFonts w:ascii="Times New Roman" w:hAnsi="Times New Roman"/>
          <w:sz w:val="24"/>
          <w:szCs w:val="24"/>
        </w:rPr>
        <w:t>rechtliche Ve</w:t>
      </w:r>
      <w:r w:rsidR="00557F73" w:rsidRPr="001D15F0">
        <w:rPr>
          <w:rFonts w:ascii="Times New Roman" w:hAnsi="Times New Roman"/>
          <w:sz w:val="24"/>
          <w:szCs w:val="24"/>
        </w:rPr>
        <w:t>r</w:t>
      </w:r>
      <w:r w:rsidR="00557F73" w:rsidRPr="001D15F0">
        <w:rPr>
          <w:rFonts w:ascii="Times New Roman" w:hAnsi="Times New Roman"/>
          <w:sz w:val="24"/>
          <w:szCs w:val="24"/>
        </w:rPr>
        <w:t>pflichtung des Trä</w:t>
      </w:r>
      <w:r w:rsidR="00557F73" w:rsidRPr="00B90A22">
        <w:rPr>
          <w:rFonts w:ascii="Times New Roman" w:hAnsi="Times New Roman"/>
          <w:sz w:val="24"/>
          <w:szCs w:val="24"/>
        </w:rPr>
        <w:t>gers der Biobank, ein Votum bei der für ihn zuständigen Ethik-Kommission einzuholen.</w:t>
      </w:r>
      <w:r w:rsidR="005669CA" w:rsidRPr="00B90A22">
        <w:rPr>
          <w:rStyle w:val="Funotenzeichen"/>
          <w:rFonts w:ascii="Times New Roman" w:hAnsi="Times New Roman"/>
          <w:sz w:val="24"/>
          <w:szCs w:val="24"/>
        </w:rPr>
        <w:footnoteReference w:id="1"/>
      </w:r>
    </w:p>
    <w:p w14:paraId="3E1EB725" w14:textId="77777777" w:rsidR="00AF0C3F" w:rsidRPr="00B90A22" w:rsidRDefault="001218F5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Soweit die Errichtung einer Biobank ausschließlich einem einzelnen, spezifisch definierten Forschungsprojekt dient (z.B. einem Promotionsvorhaben), deckt dieses projektbezogene 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tum i.d.R. die Errichtung der Biobank mit ab.</w:t>
      </w:r>
    </w:p>
    <w:p w14:paraId="3B64D784" w14:textId="77777777" w:rsidR="00AF0C3F" w:rsidRPr="00B90A22" w:rsidRDefault="00AF0C3F" w:rsidP="00E52E0E">
      <w:pPr>
        <w:pStyle w:val="berschrift11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3. Notwendige Antragsunterlagen </w:t>
      </w:r>
      <w:r w:rsidR="00331AF8" w:rsidRPr="00B90A22">
        <w:rPr>
          <w:rFonts w:ascii="Times New Roman" w:hAnsi="Times New Roman"/>
          <w:sz w:val="24"/>
          <w:szCs w:val="24"/>
        </w:rPr>
        <w:t>bei Errichtung einer Biobank</w:t>
      </w:r>
    </w:p>
    <w:p w14:paraId="26ACAAF6" w14:textId="77777777" w:rsidR="00AF0C3F" w:rsidRPr="00B90A22" w:rsidRDefault="00AF0C3F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Zur Bewertung </w:t>
      </w:r>
      <w:r w:rsidR="003C7ECE" w:rsidRPr="00B90A22">
        <w:rPr>
          <w:rFonts w:ascii="Times New Roman" w:hAnsi="Times New Roman"/>
          <w:sz w:val="24"/>
          <w:szCs w:val="24"/>
        </w:rPr>
        <w:t xml:space="preserve">eines Antrags zur Errichtung einer Biobank </w:t>
      </w:r>
      <w:r w:rsidRPr="00B90A22">
        <w:rPr>
          <w:rFonts w:ascii="Times New Roman" w:hAnsi="Times New Roman"/>
          <w:sz w:val="24"/>
          <w:szCs w:val="24"/>
        </w:rPr>
        <w:t xml:space="preserve">benötigt die Ethik-Kommission </w:t>
      </w:r>
      <w:r w:rsidR="003873E1" w:rsidRPr="00B90A22">
        <w:rPr>
          <w:rFonts w:ascii="Times New Roman" w:hAnsi="Times New Roman"/>
          <w:sz w:val="24"/>
          <w:szCs w:val="24"/>
        </w:rPr>
        <w:t>insbesondere</w:t>
      </w:r>
    </w:p>
    <w:p w14:paraId="49276832" w14:textId="02C7638C" w:rsidR="00AF0C3F" w:rsidRPr="00B90A22" w:rsidRDefault="00AF0C3F" w:rsidP="00E52E0E">
      <w:pPr>
        <w:pStyle w:val="Listenabsatz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Angaben über die Festlegungen der Biobank betreffend </w:t>
      </w:r>
      <w:r w:rsidR="000D6A52">
        <w:rPr>
          <w:rFonts w:ascii="Times New Roman" w:hAnsi="Times New Roman"/>
          <w:sz w:val="24"/>
          <w:szCs w:val="24"/>
        </w:rPr>
        <w:t>Zielsetzungen,</w:t>
      </w:r>
      <w:r w:rsidR="000D6A52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>Organisation,</w:t>
      </w:r>
      <w:r w:rsidR="000D6A52">
        <w:rPr>
          <w:rFonts w:ascii="Times New Roman" w:hAnsi="Times New Roman"/>
          <w:sz w:val="24"/>
          <w:szCs w:val="24"/>
        </w:rPr>
        <w:t xml:space="preserve"> Verfahrensabläufe</w:t>
      </w:r>
      <w:r w:rsidRPr="00B90A22">
        <w:rPr>
          <w:rFonts w:ascii="Times New Roman" w:hAnsi="Times New Roman"/>
          <w:sz w:val="24"/>
          <w:szCs w:val="24"/>
        </w:rPr>
        <w:t xml:space="preserve"> , </w:t>
      </w:r>
      <w:r w:rsidR="000D6A52">
        <w:rPr>
          <w:rFonts w:ascii="Times New Roman" w:hAnsi="Times New Roman"/>
          <w:sz w:val="24"/>
          <w:szCs w:val="24"/>
        </w:rPr>
        <w:t xml:space="preserve">Dokumentation und </w:t>
      </w:r>
      <w:r w:rsidRPr="00B90A22">
        <w:rPr>
          <w:rFonts w:ascii="Times New Roman" w:hAnsi="Times New Roman"/>
          <w:sz w:val="24"/>
          <w:szCs w:val="24"/>
        </w:rPr>
        <w:t>Finanzi</w:t>
      </w:r>
      <w:r w:rsidR="003C7ECE" w:rsidRPr="00B90A22">
        <w:rPr>
          <w:rFonts w:ascii="Times New Roman" w:hAnsi="Times New Roman"/>
          <w:sz w:val="24"/>
          <w:szCs w:val="24"/>
        </w:rPr>
        <w:t>erung</w:t>
      </w:r>
      <w:r w:rsidR="00421283">
        <w:rPr>
          <w:rFonts w:ascii="Times New Roman" w:hAnsi="Times New Roman"/>
          <w:sz w:val="24"/>
          <w:szCs w:val="24"/>
        </w:rPr>
        <w:t>skonzept</w:t>
      </w:r>
      <w:r w:rsidR="001D15F0">
        <w:rPr>
          <w:rFonts w:ascii="Times New Roman" w:hAnsi="Times New Roman"/>
          <w:sz w:val="24"/>
          <w:szCs w:val="24"/>
        </w:rPr>
        <w:t>;</w:t>
      </w:r>
    </w:p>
    <w:p w14:paraId="07D53549" w14:textId="357489ED" w:rsidR="00AF0C3F" w:rsidRPr="00B90A22" w:rsidRDefault="00AF0C3F" w:rsidP="00E52E0E">
      <w:pPr>
        <w:pStyle w:val="Listenabsatz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Angaben über Art, Beschaffung, Aufbewahrung, </w:t>
      </w:r>
      <w:r w:rsidR="00421283">
        <w:rPr>
          <w:rFonts w:ascii="Times New Roman" w:hAnsi="Times New Roman"/>
          <w:sz w:val="24"/>
          <w:szCs w:val="24"/>
        </w:rPr>
        <w:t>Qualitätssicherung,</w:t>
      </w:r>
      <w:r w:rsidR="00421283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>Nutzung und S</w:t>
      </w:r>
      <w:r w:rsidRPr="00B90A22">
        <w:rPr>
          <w:rFonts w:ascii="Times New Roman" w:hAnsi="Times New Roman"/>
          <w:sz w:val="24"/>
          <w:szCs w:val="24"/>
        </w:rPr>
        <w:t>i</w:t>
      </w:r>
      <w:r w:rsidRPr="00B90A22">
        <w:rPr>
          <w:rFonts w:ascii="Times New Roman" w:hAnsi="Times New Roman"/>
          <w:sz w:val="24"/>
          <w:szCs w:val="24"/>
        </w:rPr>
        <w:t>cherung des Biomaterials und der Daten</w:t>
      </w:r>
      <w:r w:rsidR="003C7ECE" w:rsidRPr="00B90A22">
        <w:rPr>
          <w:rFonts w:ascii="Times New Roman" w:hAnsi="Times New Roman"/>
          <w:sz w:val="24"/>
          <w:szCs w:val="24"/>
        </w:rPr>
        <w:t>;</w:t>
      </w:r>
    </w:p>
    <w:p w14:paraId="1969F34F" w14:textId="77777777" w:rsidR="00AF0C3F" w:rsidRPr="00B90A22" w:rsidRDefault="00AF0C3F" w:rsidP="00E52E0E">
      <w:pPr>
        <w:pStyle w:val="Listenabsatz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Dokumente zur Spenderinformation und Einwilligungserklärung.</w:t>
      </w:r>
    </w:p>
    <w:p w14:paraId="10A7E39C" w14:textId="77777777" w:rsidR="00AF0C3F" w:rsidRPr="00B90A22" w:rsidRDefault="00AF0C3F" w:rsidP="00E52E0E">
      <w:pPr>
        <w:pStyle w:val="berschrift11"/>
        <w:spacing w:after="120"/>
        <w:rPr>
          <w:rFonts w:ascii="Times New Roman" w:hAnsi="Times New Roman"/>
          <w:sz w:val="24"/>
        </w:rPr>
      </w:pPr>
      <w:r w:rsidRPr="00B90A22">
        <w:rPr>
          <w:rFonts w:ascii="Times New Roman" w:hAnsi="Times New Roman"/>
          <w:sz w:val="24"/>
        </w:rPr>
        <w:t>4. Anforderungen an die zu bewertende Biobank</w:t>
      </w:r>
    </w:p>
    <w:p w14:paraId="13D39D35" w14:textId="77777777" w:rsidR="00AF0C3F" w:rsidRPr="00B90A22" w:rsidRDefault="00AF0C3F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a) Aufklärung und Einwilligung der Spender</w:t>
      </w:r>
      <w:r w:rsidR="00FB68F3" w:rsidRPr="00B90A22">
        <w:rPr>
          <w:rFonts w:ascii="Times New Roman" w:hAnsi="Times New Roman"/>
          <w:sz w:val="24"/>
          <w:szCs w:val="24"/>
        </w:rPr>
        <w:t xml:space="preserve"> </w:t>
      </w:r>
    </w:p>
    <w:p w14:paraId="3842C34F" w14:textId="537DEAC5" w:rsidR="00F91C4E" w:rsidRDefault="00F91C4E" w:rsidP="00D3710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Voraussetzung für die Gewinnung und Aufbewahrung von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AF0C3F" w:rsidRPr="00B90A22">
        <w:rPr>
          <w:rFonts w:ascii="Times New Roman" w:hAnsi="Times New Roman"/>
          <w:sz w:val="24"/>
          <w:szCs w:val="24"/>
        </w:rPr>
        <w:t>Biomaterial zu Forschungszw</w:t>
      </w:r>
      <w:r w:rsidR="00AF0C3F" w:rsidRPr="00B90A22">
        <w:rPr>
          <w:rFonts w:ascii="Times New Roman" w:hAnsi="Times New Roman"/>
          <w:sz w:val="24"/>
          <w:szCs w:val="24"/>
        </w:rPr>
        <w:t>e</w:t>
      </w:r>
      <w:r w:rsidR="00AF0C3F" w:rsidRPr="00B90A22">
        <w:rPr>
          <w:rFonts w:ascii="Times New Roman" w:hAnsi="Times New Roman"/>
          <w:sz w:val="24"/>
          <w:szCs w:val="24"/>
        </w:rPr>
        <w:t xml:space="preserve">cken ist die schriftliche Einwilligung des Materialspenders nach entsprechender schriftlicher und mündlicher Aufklärung. Für den Inhalt der schriftlichen Aufklärung </w:t>
      </w:r>
      <w:r w:rsidR="00331AF8" w:rsidRPr="00B90A22">
        <w:rPr>
          <w:rFonts w:ascii="Times New Roman" w:hAnsi="Times New Roman"/>
          <w:sz w:val="24"/>
          <w:szCs w:val="24"/>
        </w:rPr>
        <w:t xml:space="preserve">und </w:t>
      </w:r>
      <w:r w:rsidR="00AF0C3F" w:rsidRPr="00B90A22">
        <w:rPr>
          <w:rFonts w:ascii="Times New Roman" w:hAnsi="Times New Roman"/>
          <w:sz w:val="24"/>
          <w:szCs w:val="24"/>
        </w:rPr>
        <w:t>der Einwill</w:t>
      </w:r>
      <w:r w:rsidR="00AF0C3F" w:rsidRPr="00B90A22">
        <w:rPr>
          <w:rFonts w:ascii="Times New Roman" w:hAnsi="Times New Roman"/>
          <w:sz w:val="24"/>
          <w:szCs w:val="24"/>
        </w:rPr>
        <w:t>i</w:t>
      </w:r>
      <w:r w:rsidR="00AF0C3F" w:rsidRPr="00B90A22">
        <w:rPr>
          <w:rFonts w:ascii="Times New Roman" w:hAnsi="Times New Roman"/>
          <w:sz w:val="24"/>
          <w:szCs w:val="24"/>
        </w:rPr>
        <w:t>gungserklärung wird auf den entsprechenden Mustertext des Arbeitskreises verwiesen.</w:t>
      </w:r>
      <w:r>
        <w:rPr>
          <w:rFonts w:ascii="Times New Roman" w:hAnsi="Times New Roman"/>
          <w:sz w:val="24"/>
          <w:szCs w:val="24"/>
        </w:rPr>
        <w:t xml:space="preserve"> </w:t>
      </w:r>
      <w:r w:rsidR="00486EEA" w:rsidRPr="00486EEA">
        <w:rPr>
          <w:rFonts w:ascii="Times New Roman" w:hAnsi="Times New Roman"/>
          <w:sz w:val="24"/>
          <w:szCs w:val="24"/>
        </w:rPr>
        <w:t>Soll das Probenmaterial für genetische Untersuchungen herangezogen werden</w:t>
      </w:r>
      <w:r w:rsidR="00486EEA">
        <w:rPr>
          <w:rFonts w:ascii="Times New Roman" w:hAnsi="Times New Roman"/>
          <w:sz w:val="24"/>
          <w:szCs w:val="24"/>
        </w:rPr>
        <w:t>,</w:t>
      </w:r>
      <w:r w:rsidR="00486EEA" w:rsidRPr="00486EEA">
        <w:rPr>
          <w:rFonts w:ascii="Times New Roman" w:hAnsi="Times New Roman"/>
          <w:sz w:val="24"/>
          <w:szCs w:val="24"/>
        </w:rPr>
        <w:t xml:space="preserve"> muss </w:t>
      </w:r>
      <w:r w:rsidR="00486EEA">
        <w:rPr>
          <w:rFonts w:ascii="Times New Roman" w:hAnsi="Times New Roman"/>
          <w:sz w:val="24"/>
          <w:szCs w:val="24"/>
        </w:rPr>
        <w:t>dies in der Aufklärung explizit zum Ausdruck kommen</w:t>
      </w:r>
      <w:r w:rsidR="00486EEA" w:rsidRPr="00486EEA">
        <w:rPr>
          <w:rFonts w:ascii="Times New Roman" w:hAnsi="Times New Roman"/>
          <w:sz w:val="24"/>
          <w:szCs w:val="24"/>
        </w:rPr>
        <w:t xml:space="preserve">. </w:t>
      </w:r>
      <w:r w:rsidR="00AF0C3F" w:rsidRPr="00B90A22">
        <w:rPr>
          <w:rFonts w:ascii="Times New Roman" w:hAnsi="Times New Roman"/>
          <w:sz w:val="24"/>
          <w:szCs w:val="24"/>
        </w:rPr>
        <w:t xml:space="preserve">Die Spender </w:t>
      </w:r>
      <w:r w:rsidR="00A04F39">
        <w:rPr>
          <w:rFonts w:ascii="Times New Roman" w:hAnsi="Times New Roman"/>
          <w:sz w:val="24"/>
          <w:szCs w:val="24"/>
        </w:rPr>
        <w:t>müssen</w:t>
      </w:r>
      <w:r w:rsidR="00A04F39" w:rsidRPr="00B90A22">
        <w:rPr>
          <w:rFonts w:ascii="Times New Roman" w:hAnsi="Times New Roman"/>
          <w:sz w:val="24"/>
          <w:szCs w:val="24"/>
        </w:rPr>
        <w:t xml:space="preserve"> </w:t>
      </w:r>
      <w:r w:rsidR="00AF0C3F" w:rsidRPr="00B90A22">
        <w:rPr>
          <w:rFonts w:ascii="Times New Roman" w:hAnsi="Times New Roman"/>
          <w:sz w:val="24"/>
          <w:szCs w:val="24"/>
        </w:rPr>
        <w:t>durch qualifiziertes ärztl</w:t>
      </w:r>
      <w:r w:rsidR="00AF0C3F" w:rsidRPr="00B90A22">
        <w:rPr>
          <w:rFonts w:ascii="Times New Roman" w:hAnsi="Times New Roman"/>
          <w:sz w:val="24"/>
          <w:szCs w:val="24"/>
        </w:rPr>
        <w:t>i</w:t>
      </w:r>
      <w:r w:rsidR="00AF0C3F" w:rsidRPr="00B90A22">
        <w:rPr>
          <w:rFonts w:ascii="Times New Roman" w:hAnsi="Times New Roman"/>
          <w:sz w:val="24"/>
          <w:szCs w:val="24"/>
        </w:rPr>
        <w:t xml:space="preserve">ches </w:t>
      </w:r>
      <w:r w:rsidR="00087012" w:rsidRPr="00B90A22">
        <w:rPr>
          <w:rFonts w:ascii="Times New Roman" w:hAnsi="Times New Roman"/>
          <w:sz w:val="24"/>
          <w:szCs w:val="24"/>
        </w:rPr>
        <w:t xml:space="preserve">oder biobankspezifisch geschultes </w:t>
      </w:r>
      <w:r w:rsidR="00AF0C3F" w:rsidRPr="00B90A22">
        <w:rPr>
          <w:rFonts w:ascii="Times New Roman" w:hAnsi="Times New Roman"/>
          <w:sz w:val="24"/>
          <w:szCs w:val="24"/>
        </w:rPr>
        <w:t>Personal aufgeklärt</w:t>
      </w:r>
      <w:r w:rsidR="00A04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worden sein</w:t>
      </w:r>
      <w:r w:rsidR="00AF0C3F" w:rsidRPr="00B90A22">
        <w:rPr>
          <w:rFonts w:ascii="Times New Roman" w:hAnsi="Times New Roman"/>
          <w:sz w:val="24"/>
          <w:szCs w:val="24"/>
        </w:rPr>
        <w:t>, das nötigenfalls we</w:t>
      </w:r>
      <w:r w:rsidR="00AF0C3F" w:rsidRPr="00B90A22">
        <w:rPr>
          <w:rFonts w:ascii="Times New Roman" w:hAnsi="Times New Roman"/>
          <w:sz w:val="24"/>
          <w:szCs w:val="24"/>
        </w:rPr>
        <w:t>i</w:t>
      </w:r>
      <w:r w:rsidR="00AF0C3F" w:rsidRPr="00B90A22">
        <w:rPr>
          <w:rFonts w:ascii="Times New Roman" w:hAnsi="Times New Roman"/>
          <w:sz w:val="24"/>
          <w:szCs w:val="24"/>
        </w:rPr>
        <w:t xml:space="preserve">tere Erläuterungen </w:t>
      </w:r>
      <w:r w:rsidR="00FA1770">
        <w:rPr>
          <w:rFonts w:ascii="Times New Roman" w:hAnsi="Times New Roman"/>
          <w:sz w:val="24"/>
          <w:szCs w:val="24"/>
        </w:rPr>
        <w:t>gegeben</w:t>
      </w:r>
      <w:r w:rsidR="00AF0C3F" w:rsidRPr="00B90A22">
        <w:rPr>
          <w:rFonts w:ascii="Times New Roman" w:hAnsi="Times New Roman"/>
          <w:sz w:val="24"/>
          <w:szCs w:val="24"/>
        </w:rPr>
        <w:t xml:space="preserve"> und offene Fragen </w:t>
      </w:r>
      <w:r>
        <w:rPr>
          <w:rFonts w:ascii="Times New Roman" w:hAnsi="Times New Roman"/>
          <w:sz w:val="24"/>
          <w:szCs w:val="24"/>
        </w:rPr>
        <w:t>geklärt hat</w:t>
      </w:r>
      <w:r w:rsidR="00AF0C3F" w:rsidRPr="00B90A22">
        <w:rPr>
          <w:rFonts w:ascii="Times New Roman" w:hAnsi="Times New Roman"/>
          <w:sz w:val="24"/>
          <w:szCs w:val="24"/>
        </w:rPr>
        <w:t>.</w:t>
      </w:r>
      <w:r w:rsidR="00B90A22">
        <w:rPr>
          <w:rStyle w:val="Funotenzeichen"/>
          <w:rFonts w:ascii="Times New Roman" w:hAnsi="Times New Roman"/>
          <w:sz w:val="24"/>
          <w:szCs w:val="24"/>
        </w:rPr>
        <w:footnoteReference w:id="2"/>
      </w:r>
      <w:r w:rsidR="00AF0C3F" w:rsidRPr="00B90A22">
        <w:rPr>
          <w:rFonts w:ascii="Times New Roman" w:hAnsi="Times New Roman"/>
          <w:sz w:val="24"/>
          <w:szCs w:val="24"/>
        </w:rPr>
        <w:t xml:space="preserve"> </w:t>
      </w:r>
    </w:p>
    <w:p w14:paraId="744B8B5B" w14:textId="77777777" w:rsidR="00AF0C3F" w:rsidRPr="00B90A22" w:rsidRDefault="00AF0C3F" w:rsidP="00D3710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vom Spender und </w:t>
      </w:r>
      <w:r w:rsidR="00331AF8" w:rsidRPr="00B90A22">
        <w:rPr>
          <w:rFonts w:ascii="Times New Roman" w:hAnsi="Times New Roman"/>
          <w:sz w:val="24"/>
          <w:szCs w:val="24"/>
        </w:rPr>
        <w:t>von der aufklärenden Person</w:t>
      </w:r>
      <w:r w:rsidRPr="00B90A22">
        <w:rPr>
          <w:rFonts w:ascii="Times New Roman" w:hAnsi="Times New Roman"/>
          <w:sz w:val="24"/>
          <w:szCs w:val="24"/>
        </w:rPr>
        <w:t xml:space="preserve"> unterzeichnete Einwilligungserklärung ist </w:t>
      </w:r>
      <w:r w:rsidR="00A32D62">
        <w:rPr>
          <w:rFonts w:ascii="Times New Roman" w:hAnsi="Times New Roman"/>
          <w:sz w:val="24"/>
          <w:szCs w:val="24"/>
        </w:rPr>
        <w:t xml:space="preserve">von der Biobank oder von der Stelle, die die Einwilligung eingeholt hat, </w:t>
      </w:r>
      <w:r w:rsidR="00916016">
        <w:rPr>
          <w:rFonts w:ascii="Times New Roman" w:hAnsi="Times New Roman"/>
          <w:sz w:val="24"/>
          <w:szCs w:val="24"/>
        </w:rPr>
        <w:t>mindestens für die Zeit der</w:t>
      </w:r>
      <w:r w:rsidR="00DD38F5">
        <w:rPr>
          <w:rFonts w:ascii="Times New Roman" w:hAnsi="Times New Roman"/>
          <w:sz w:val="24"/>
          <w:szCs w:val="24"/>
        </w:rPr>
        <w:t xml:space="preserve"> Aufbewahrung bzw.</w:t>
      </w:r>
      <w:r w:rsidR="00916016">
        <w:rPr>
          <w:rFonts w:ascii="Times New Roman" w:hAnsi="Times New Roman"/>
          <w:sz w:val="24"/>
          <w:szCs w:val="24"/>
        </w:rPr>
        <w:t xml:space="preserve"> Nutzung der Proben und Daten </w:t>
      </w:r>
      <w:r w:rsidRPr="00B90A22">
        <w:rPr>
          <w:rFonts w:ascii="Times New Roman" w:hAnsi="Times New Roman"/>
          <w:sz w:val="24"/>
          <w:szCs w:val="24"/>
        </w:rPr>
        <w:t>zu archivieren. Der Spender muss eine Kopie der Informationsschrift und der unterschriebenen Einwilligungserklärung erhalten.</w:t>
      </w:r>
    </w:p>
    <w:p w14:paraId="112E2436" w14:textId="52DC1FCA" w:rsidR="00E21BA8" w:rsidRDefault="00AF0C3F" w:rsidP="00401491">
      <w:pPr>
        <w:autoSpaceDE w:val="0"/>
        <w:autoSpaceDN w:val="0"/>
        <w:adjustRightInd w:val="0"/>
        <w:spacing w:after="120"/>
        <w:jc w:val="both"/>
      </w:pPr>
      <w:r w:rsidRPr="00DD38F5">
        <w:rPr>
          <w:rFonts w:ascii="Times New Roman" w:hAnsi="Times New Roman"/>
          <w:sz w:val="24"/>
          <w:szCs w:val="24"/>
        </w:rPr>
        <w:lastRenderedPageBreak/>
        <w:t xml:space="preserve">Falls </w:t>
      </w:r>
      <w:r w:rsidR="006F170B">
        <w:rPr>
          <w:rFonts w:ascii="Times New Roman" w:hAnsi="Times New Roman"/>
          <w:sz w:val="24"/>
          <w:szCs w:val="24"/>
        </w:rPr>
        <w:t xml:space="preserve">sich die Einwilligung auch auf </w:t>
      </w:r>
      <w:r w:rsidR="004D29CA" w:rsidRPr="001D15F0">
        <w:rPr>
          <w:rFonts w:ascii="Times New Roman" w:hAnsi="Times New Roman"/>
          <w:sz w:val="24"/>
          <w:szCs w:val="24"/>
        </w:rPr>
        <w:t>Restmaterialien</w:t>
      </w:r>
      <w:r w:rsidR="004D29CA" w:rsidRPr="00DD38F5">
        <w:rPr>
          <w:rFonts w:ascii="Times New Roman" w:hAnsi="Times New Roman"/>
          <w:sz w:val="24"/>
          <w:szCs w:val="24"/>
        </w:rPr>
        <w:t xml:space="preserve"> </w:t>
      </w:r>
      <w:r w:rsidR="00B8199D">
        <w:rPr>
          <w:rFonts w:ascii="Times New Roman" w:hAnsi="Times New Roman"/>
          <w:sz w:val="24"/>
          <w:szCs w:val="24"/>
        </w:rPr>
        <w:t xml:space="preserve">und Daten erstrecken soll, die </w:t>
      </w:r>
      <w:r w:rsidR="006F170B">
        <w:rPr>
          <w:rFonts w:ascii="Times New Roman" w:hAnsi="Times New Roman"/>
          <w:sz w:val="24"/>
          <w:szCs w:val="24"/>
        </w:rPr>
        <w:t>bei</w:t>
      </w:r>
      <w:r w:rsidR="006F170B" w:rsidRPr="00DD38F5">
        <w:rPr>
          <w:rFonts w:ascii="Times New Roman" w:hAnsi="Times New Roman"/>
          <w:sz w:val="24"/>
          <w:szCs w:val="24"/>
        </w:rPr>
        <w:t xml:space="preserve"> </w:t>
      </w:r>
      <w:r w:rsidR="007B1E39" w:rsidRPr="00DD38F5">
        <w:rPr>
          <w:rFonts w:ascii="Times New Roman" w:hAnsi="Times New Roman"/>
          <w:sz w:val="24"/>
          <w:szCs w:val="24"/>
        </w:rPr>
        <w:t>weit</w:t>
      </w:r>
      <w:r w:rsidR="007B1E39" w:rsidRPr="00DD38F5">
        <w:rPr>
          <w:rFonts w:ascii="Times New Roman" w:hAnsi="Times New Roman"/>
          <w:sz w:val="24"/>
          <w:szCs w:val="24"/>
        </w:rPr>
        <w:t>e</w:t>
      </w:r>
      <w:r w:rsidR="007B1E39" w:rsidRPr="00DD38F5">
        <w:rPr>
          <w:rFonts w:ascii="Times New Roman" w:hAnsi="Times New Roman"/>
          <w:sz w:val="24"/>
          <w:szCs w:val="24"/>
        </w:rPr>
        <w:t>re</w:t>
      </w:r>
      <w:r w:rsidR="001D15F0">
        <w:rPr>
          <w:rFonts w:ascii="Times New Roman" w:hAnsi="Times New Roman"/>
          <w:sz w:val="24"/>
          <w:szCs w:val="24"/>
        </w:rPr>
        <w:t>n</w:t>
      </w:r>
      <w:r w:rsidR="007B1E39" w:rsidRPr="00DD38F5">
        <w:rPr>
          <w:rFonts w:ascii="Times New Roman" w:hAnsi="Times New Roman"/>
          <w:sz w:val="24"/>
          <w:szCs w:val="24"/>
        </w:rPr>
        <w:t xml:space="preserve"> </w:t>
      </w:r>
      <w:r w:rsidRPr="00DD38F5">
        <w:rPr>
          <w:rFonts w:ascii="Times New Roman" w:hAnsi="Times New Roman"/>
          <w:sz w:val="24"/>
          <w:szCs w:val="24"/>
        </w:rPr>
        <w:t xml:space="preserve">Krankenhaus-/Studienaufenthalten </w:t>
      </w:r>
      <w:r w:rsidR="00B8199D">
        <w:rPr>
          <w:rFonts w:ascii="Times New Roman" w:hAnsi="Times New Roman"/>
          <w:sz w:val="24"/>
          <w:szCs w:val="24"/>
        </w:rPr>
        <w:t>anfallen</w:t>
      </w:r>
      <w:r w:rsidRPr="00DD38F5">
        <w:rPr>
          <w:rFonts w:ascii="Times New Roman" w:hAnsi="Times New Roman"/>
          <w:sz w:val="24"/>
          <w:szCs w:val="24"/>
        </w:rPr>
        <w:t>, m</w:t>
      </w:r>
      <w:r w:rsidR="0037766F" w:rsidRPr="00DD38F5">
        <w:rPr>
          <w:rFonts w:ascii="Times New Roman" w:hAnsi="Times New Roman"/>
          <w:sz w:val="24"/>
          <w:szCs w:val="24"/>
        </w:rPr>
        <w:t>uss</w:t>
      </w:r>
      <w:r w:rsidRPr="00DD38F5">
        <w:rPr>
          <w:rFonts w:ascii="Times New Roman" w:hAnsi="Times New Roman"/>
          <w:sz w:val="24"/>
          <w:szCs w:val="24"/>
        </w:rPr>
        <w:t xml:space="preserve"> </w:t>
      </w:r>
      <w:r w:rsidR="00B8199D">
        <w:rPr>
          <w:rFonts w:ascii="Times New Roman" w:hAnsi="Times New Roman"/>
          <w:sz w:val="24"/>
          <w:szCs w:val="24"/>
        </w:rPr>
        <w:t>der Spender darüber unmissverständlich aufgeklärt werden</w:t>
      </w:r>
      <w:r w:rsidRPr="00DD38F5">
        <w:rPr>
          <w:rFonts w:ascii="Times New Roman" w:hAnsi="Times New Roman"/>
          <w:sz w:val="24"/>
          <w:szCs w:val="24"/>
        </w:rPr>
        <w:t xml:space="preserve">. </w:t>
      </w:r>
      <w:r w:rsidR="006F170B">
        <w:t xml:space="preserve"> </w:t>
      </w:r>
    </w:p>
    <w:p w14:paraId="322FF2BA" w14:textId="77777777" w:rsidR="00AF0C3F" w:rsidRPr="001D15F0" w:rsidRDefault="00E21BA8" w:rsidP="00E21BA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4"/>
        </w:rPr>
      </w:pPr>
      <w:r w:rsidRPr="001D15F0">
        <w:rPr>
          <w:rFonts w:ascii="Times New Roman" w:hAnsi="Times New Roman"/>
          <w:sz w:val="24"/>
        </w:rPr>
        <w:t>Falls die Einwilligung auch forschungsbedingte k</w:t>
      </w:r>
      <w:r w:rsidR="006F170B" w:rsidRPr="001D15F0">
        <w:rPr>
          <w:rFonts w:ascii="Times New Roman" w:hAnsi="Times New Roman"/>
          <w:sz w:val="24"/>
        </w:rPr>
        <w:t>örperliche Eingriffe bei zukünftigen Kra</w:t>
      </w:r>
      <w:r w:rsidR="006F170B" w:rsidRPr="001D15F0">
        <w:rPr>
          <w:rFonts w:ascii="Times New Roman" w:hAnsi="Times New Roman"/>
          <w:sz w:val="24"/>
        </w:rPr>
        <w:t>n</w:t>
      </w:r>
      <w:r w:rsidR="006F170B" w:rsidRPr="001D15F0">
        <w:rPr>
          <w:rFonts w:ascii="Times New Roman" w:hAnsi="Times New Roman"/>
          <w:sz w:val="24"/>
        </w:rPr>
        <w:t xml:space="preserve">kenhaus-/Studienaufenthalten </w:t>
      </w:r>
      <w:r w:rsidRPr="001D15F0">
        <w:rPr>
          <w:rFonts w:ascii="Times New Roman" w:hAnsi="Times New Roman"/>
          <w:sz w:val="24"/>
        </w:rPr>
        <w:t xml:space="preserve">umfassen soll, setzt dies voraus, dass </w:t>
      </w:r>
      <w:r w:rsidR="006F170B" w:rsidRPr="001D15F0">
        <w:rPr>
          <w:rFonts w:ascii="Times New Roman" w:hAnsi="Times New Roman"/>
          <w:sz w:val="24"/>
        </w:rPr>
        <w:t>die zukünftigen Aufen</w:t>
      </w:r>
      <w:r w:rsidR="006F170B" w:rsidRPr="001D15F0">
        <w:rPr>
          <w:rFonts w:ascii="Times New Roman" w:hAnsi="Times New Roman"/>
          <w:sz w:val="24"/>
        </w:rPr>
        <w:t>t</w:t>
      </w:r>
      <w:r w:rsidR="006F170B" w:rsidRPr="001D15F0">
        <w:rPr>
          <w:rFonts w:ascii="Times New Roman" w:hAnsi="Times New Roman"/>
          <w:sz w:val="24"/>
        </w:rPr>
        <w:t>halte von vornherein geplant sind; ansonsten ist für solche Eingriffe jeweils eine erneute Ei</w:t>
      </w:r>
      <w:r w:rsidR="006F170B" w:rsidRPr="001D15F0">
        <w:rPr>
          <w:rFonts w:ascii="Times New Roman" w:hAnsi="Times New Roman"/>
          <w:sz w:val="24"/>
        </w:rPr>
        <w:t>n</w:t>
      </w:r>
      <w:r w:rsidR="006F170B" w:rsidRPr="001D15F0">
        <w:rPr>
          <w:rFonts w:ascii="Times New Roman" w:hAnsi="Times New Roman"/>
          <w:sz w:val="24"/>
        </w:rPr>
        <w:t>willigung einzuholen.</w:t>
      </w:r>
    </w:p>
    <w:p w14:paraId="3F2F8FD9" w14:textId="653B2819" w:rsidR="001127F4" w:rsidRPr="009E48E4" w:rsidRDefault="00AF0C3F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Die Einwilligung des Spenders in die Archivierung und Nutzung des Materials kann grun</w:t>
      </w:r>
      <w:r w:rsidRPr="00B90A22">
        <w:rPr>
          <w:rFonts w:ascii="Times New Roman" w:hAnsi="Times New Roman"/>
          <w:sz w:val="24"/>
          <w:szCs w:val="24"/>
        </w:rPr>
        <w:t>d</w:t>
      </w:r>
      <w:r w:rsidRPr="00B90A22">
        <w:rPr>
          <w:rFonts w:ascii="Times New Roman" w:hAnsi="Times New Roman"/>
          <w:sz w:val="24"/>
          <w:szCs w:val="24"/>
        </w:rPr>
        <w:t>sätzlich auch für unbegrenzte Zeit eingeholt werden, sofern dies in der Aufklärung hinre</w:t>
      </w:r>
      <w:r w:rsidRPr="00B90A22">
        <w:rPr>
          <w:rFonts w:ascii="Times New Roman" w:hAnsi="Times New Roman"/>
          <w:sz w:val="24"/>
          <w:szCs w:val="24"/>
        </w:rPr>
        <w:t>i</w:t>
      </w:r>
      <w:r w:rsidRPr="00B90A22">
        <w:rPr>
          <w:rFonts w:ascii="Times New Roman" w:hAnsi="Times New Roman"/>
          <w:sz w:val="24"/>
          <w:szCs w:val="24"/>
        </w:rPr>
        <w:t xml:space="preserve">chend deutlich gemacht wird. Sie endet in jedem Fall mit dem Widerruf durch den Spender. Bei Änderungen der Zweckbestimmung </w:t>
      </w:r>
      <w:r w:rsidR="00FA1770">
        <w:rPr>
          <w:rFonts w:ascii="Times New Roman" w:hAnsi="Times New Roman"/>
          <w:sz w:val="24"/>
          <w:szCs w:val="24"/>
        </w:rPr>
        <w:t>der Biobank</w:t>
      </w:r>
      <w:r w:rsidR="00491DCD">
        <w:rPr>
          <w:rFonts w:ascii="Times New Roman" w:hAnsi="Times New Roman"/>
          <w:sz w:val="24"/>
          <w:szCs w:val="24"/>
        </w:rPr>
        <w:t>,</w:t>
      </w:r>
      <w:r w:rsidR="00FA1770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>oder wesentlichen Änderungen der einwilligungsrelevanten Rahmenbedingungen ist eine erneute Einwilligung einzuholen</w:t>
      </w:r>
      <w:r w:rsidR="008401F3" w:rsidRPr="00B90A22">
        <w:rPr>
          <w:rFonts w:ascii="Times New Roman" w:hAnsi="Times New Roman"/>
          <w:sz w:val="24"/>
          <w:szCs w:val="24"/>
        </w:rPr>
        <w:t>, es sei denn dies ist nur mit unverhältnismäßigem Aufwand möglich und das wissenschaftliche Int</w:t>
      </w:r>
      <w:r w:rsidR="008401F3" w:rsidRPr="00B90A22">
        <w:rPr>
          <w:rFonts w:ascii="Times New Roman" w:hAnsi="Times New Roman"/>
          <w:sz w:val="24"/>
          <w:szCs w:val="24"/>
        </w:rPr>
        <w:t>e</w:t>
      </w:r>
      <w:r w:rsidR="008401F3" w:rsidRPr="00B90A22">
        <w:rPr>
          <w:rFonts w:ascii="Times New Roman" w:hAnsi="Times New Roman"/>
          <w:sz w:val="24"/>
          <w:szCs w:val="24"/>
        </w:rPr>
        <w:t>resse an der Zweckänderung überwiegt das Interesse der Spender</w:t>
      </w:r>
      <w:r w:rsidR="004B6902" w:rsidRPr="00B90A22">
        <w:rPr>
          <w:rFonts w:ascii="Times New Roman" w:hAnsi="Times New Roman"/>
          <w:sz w:val="24"/>
          <w:szCs w:val="24"/>
        </w:rPr>
        <w:t xml:space="preserve"> bzw. sonstigen Betroffenen</w:t>
      </w:r>
      <w:r w:rsidRPr="00B90A22">
        <w:rPr>
          <w:rFonts w:ascii="Times New Roman" w:hAnsi="Times New Roman"/>
          <w:sz w:val="24"/>
          <w:szCs w:val="24"/>
        </w:rPr>
        <w:t>.</w:t>
      </w:r>
      <w:r w:rsidR="00491DCD">
        <w:rPr>
          <w:rFonts w:ascii="Times New Roman" w:hAnsi="Times New Roman"/>
          <w:sz w:val="24"/>
          <w:szCs w:val="24"/>
        </w:rPr>
        <w:t xml:space="preserve"> </w:t>
      </w:r>
      <w:r w:rsidR="00491DCD" w:rsidRPr="009E48E4">
        <w:rPr>
          <w:rFonts w:ascii="Times New Roman" w:hAnsi="Times New Roman"/>
          <w:iCs/>
          <w:sz w:val="24"/>
          <w:szCs w:val="24"/>
        </w:rPr>
        <w:t>B</w:t>
      </w:r>
      <w:r w:rsidR="001127F4" w:rsidRPr="009E48E4">
        <w:rPr>
          <w:rFonts w:ascii="Times New Roman" w:hAnsi="Times New Roman"/>
          <w:iCs/>
          <w:sz w:val="24"/>
          <w:szCs w:val="24"/>
        </w:rPr>
        <w:t xml:space="preserve">ereits archivierte Biomaterialien </w:t>
      </w:r>
      <w:r w:rsidR="00393E80" w:rsidRPr="009E48E4">
        <w:rPr>
          <w:rFonts w:ascii="Times New Roman" w:hAnsi="Times New Roman"/>
          <w:iCs/>
          <w:sz w:val="24"/>
          <w:szCs w:val="24"/>
        </w:rPr>
        <w:t xml:space="preserve">verstorbener Personen </w:t>
      </w:r>
      <w:r w:rsidR="001127F4" w:rsidRPr="009E48E4">
        <w:rPr>
          <w:rFonts w:ascii="Times New Roman" w:hAnsi="Times New Roman"/>
          <w:iCs/>
          <w:sz w:val="24"/>
          <w:szCs w:val="24"/>
        </w:rPr>
        <w:t xml:space="preserve">und die dazugehörigen klinischen Daten können </w:t>
      </w:r>
      <w:r w:rsidR="00491DCD" w:rsidRPr="009E48E4">
        <w:rPr>
          <w:rFonts w:ascii="Times New Roman" w:hAnsi="Times New Roman"/>
          <w:iCs/>
          <w:sz w:val="24"/>
          <w:szCs w:val="24"/>
        </w:rPr>
        <w:t>nur dann</w:t>
      </w:r>
      <w:r w:rsidR="001127F4" w:rsidRPr="009E48E4">
        <w:rPr>
          <w:rFonts w:ascii="Times New Roman" w:hAnsi="Times New Roman"/>
          <w:iCs/>
          <w:sz w:val="24"/>
          <w:szCs w:val="24"/>
        </w:rPr>
        <w:t xml:space="preserve"> ohne Einwilligung in eine Biobank überführt werden, wenn </w:t>
      </w:r>
      <w:r w:rsidR="00393E80" w:rsidRPr="009E48E4">
        <w:rPr>
          <w:rFonts w:ascii="Times New Roman" w:hAnsi="Times New Roman"/>
          <w:iCs/>
          <w:sz w:val="24"/>
          <w:szCs w:val="24"/>
        </w:rPr>
        <w:t>sie</w:t>
      </w:r>
      <w:r w:rsidR="001127F4" w:rsidRPr="009E48E4">
        <w:rPr>
          <w:rFonts w:ascii="Times New Roman" w:hAnsi="Times New Roman"/>
          <w:iCs/>
          <w:sz w:val="24"/>
          <w:szCs w:val="24"/>
        </w:rPr>
        <w:t xml:space="preserve"> vol</w:t>
      </w:r>
      <w:r w:rsidR="001127F4" w:rsidRPr="009E48E4">
        <w:rPr>
          <w:rFonts w:ascii="Times New Roman" w:hAnsi="Times New Roman"/>
          <w:iCs/>
          <w:sz w:val="24"/>
          <w:szCs w:val="24"/>
        </w:rPr>
        <w:t>l</w:t>
      </w:r>
      <w:r w:rsidR="001127F4" w:rsidRPr="009E48E4">
        <w:rPr>
          <w:rFonts w:ascii="Times New Roman" w:hAnsi="Times New Roman"/>
          <w:iCs/>
          <w:sz w:val="24"/>
          <w:szCs w:val="24"/>
        </w:rPr>
        <w:t xml:space="preserve">ständig anonymisiert werden oder </w:t>
      </w:r>
      <w:r w:rsidR="00491DCD" w:rsidRPr="009E48E4">
        <w:rPr>
          <w:rFonts w:ascii="Times New Roman" w:hAnsi="Times New Roman"/>
          <w:iCs/>
          <w:sz w:val="24"/>
          <w:szCs w:val="24"/>
        </w:rPr>
        <w:t>wenn</w:t>
      </w:r>
      <w:r w:rsidR="00491DCD" w:rsidRPr="009E48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91DCD" w:rsidRPr="009E48E4">
        <w:rPr>
          <w:rFonts w:ascii="Times New Roman" w:hAnsi="Times New Roman"/>
          <w:sz w:val="24"/>
          <w:szCs w:val="24"/>
        </w:rPr>
        <w:t xml:space="preserve">das wissenschaftliche Interesse </w:t>
      </w:r>
      <w:r w:rsidR="009E48E4" w:rsidRPr="009E48E4">
        <w:rPr>
          <w:rFonts w:ascii="Times New Roman" w:hAnsi="Times New Roman"/>
          <w:sz w:val="24"/>
          <w:szCs w:val="24"/>
        </w:rPr>
        <w:t>daran</w:t>
      </w:r>
      <w:r w:rsidR="00491DCD" w:rsidRPr="009E48E4">
        <w:rPr>
          <w:rFonts w:ascii="Times New Roman" w:hAnsi="Times New Roman"/>
          <w:sz w:val="24"/>
          <w:szCs w:val="24"/>
        </w:rPr>
        <w:t xml:space="preserve"> das Interesse </w:t>
      </w:r>
      <w:r w:rsidR="009E48E4" w:rsidRPr="009E48E4">
        <w:rPr>
          <w:rFonts w:ascii="Times New Roman" w:hAnsi="Times New Roman"/>
          <w:sz w:val="24"/>
          <w:szCs w:val="24"/>
        </w:rPr>
        <w:t>dieser Personen</w:t>
      </w:r>
      <w:r w:rsidR="00491DCD" w:rsidRPr="009E48E4">
        <w:rPr>
          <w:rFonts w:ascii="Times New Roman" w:hAnsi="Times New Roman"/>
          <w:sz w:val="24"/>
          <w:szCs w:val="24"/>
        </w:rPr>
        <w:t xml:space="preserve"> bzw. sonstigen Betroffenen</w:t>
      </w:r>
      <w:r w:rsidR="009E48E4" w:rsidRPr="009E48E4">
        <w:rPr>
          <w:rFonts w:ascii="Times New Roman" w:hAnsi="Times New Roman"/>
          <w:sz w:val="24"/>
          <w:szCs w:val="24"/>
        </w:rPr>
        <w:t xml:space="preserve"> überwiegt</w:t>
      </w:r>
      <w:r w:rsidR="001127F4" w:rsidRPr="009E48E4">
        <w:rPr>
          <w:rFonts w:ascii="Times New Roman" w:hAnsi="Times New Roman"/>
          <w:i/>
          <w:iCs/>
          <w:sz w:val="24"/>
          <w:szCs w:val="24"/>
        </w:rPr>
        <w:t>.</w:t>
      </w:r>
    </w:p>
    <w:p w14:paraId="5C17CE12" w14:textId="77777777" w:rsidR="00AF0C3F" w:rsidRPr="00B90A22" w:rsidRDefault="00AF0C3F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b)</w:t>
      </w:r>
      <w:r w:rsidR="009F076B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 xml:space="preserve">Zweckbestimmung der </w:t>
      </w:r>
      <w:r w:rsidR="00784AA7" w:rsidRPr="00B90A22">
        <w:rPr>
          <w:rFonts w:ascii="Times New Roman" w:hAnsi="Times New Roman"/>
          <w:sz w:val="24"/>
          <w:szCs w:val="24"/>
        </w:rPr>
        <w:t>Materialspende</w:t>
      </w:r>
    </w:p>
    <w:p w14:paraId="18496C45" w14:textId="213285E4" w:rsidR="00A679E7" w:rsidRPr="00B90A22" w:rsidRDefault="009F076B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</w:t>
      </w:r>
      <w:r w:rsidR="00AF0C3F" w:rsidRPr="00B90A22">
        <w:rPr>
          <w:rFonts w:ascii="Times New Roman" w:hAnsi="Times New Roman"/>
          <w:sz w:val="24"/>
          <w:szCs w:val="24"/>
        </w:rPr>
        <w:t>Entnahme und Verwendung von Biomaterial zu Forschungszwecken oder zur Qualitätss</w:t>
      </w:r>
      <w:r w:rsidR="00AF0C3F" w:rsidRPr="00B90A22">
        <w:rPr>
          <w:rFonts w:ascii="Times New Roman" w:hAnsi="Times New Roman"/>
          <w:sz w:val="24"/>
          <w:szCs w:val="24"/>
        </w:rPr>
        <w:t>i</w:t>
      </w:r>
      <w:r w:rsidR="00AF0C3F" w:rsidRPr="00B90A22">
        <w:rPr>
          <w:rFonts w:ascii="Times New Roman" w:hAnsi="Times New Roman"/>
          <w:sz w:val="24"/>
          <w:szCs w:val="24"/>
        </w:rPr>
        <w:t>cherung erfordern grundsätzlich eine auf den Einzelfall bezogene, für den potentiellen Spe</w:t>
      </w:r>
      <w:r w:rsidR="00AF0C3F" w:rsidRPr="00B90A22">
        <w:rPr>
          <w:rFonts w:ascii="Times New Roman" w:hAnsi="Times New Roman"/>
          <w:sz w:val="24"/>
          <w:szCs w:val="24"/>
        </w:rPr>
        <w:t>n</w:t>
      </w:r>
      <w:r w:rsidR="00AF0C3F" w:rsidRPr="00B90A22">
        <w:rPr>
          <w:rFonts w:ascii="Times New Roman" w:hAnsi="Times New Roman"/>
          <w:sz w:val="24"/>
          <w:szCs w:val="24"/>
        </w:rPr>
        <w:t xml:space="preserve">der klar erkennbare Zweckbestimmung. </w:t>
      </w:r>
      <w:r w:rsidR="00A679E7" w:rsidRPr="00B90A22">
        <w:rPr>
          <w:rFonts w:ascii="Times New Roman" w:hAnsi="Times New Roman"/>
          <w:sz w:val="24"/>
          <w:szCs w:val="24"/>
        </w:rPr>
        <w:t xml:space="preserve">Die Zweckbestimmung </w:t>
      </w:r>
      <w:r w:rsidR="00434D71">
        <w:rPr>
          <w:rFonts w:ascii="Times New Roman" w:hAnsi="Times New Roman"/>
          <w:sz w:val="24"/>
          <w:szCs w:val="24"/>
        </w:rPr>
        <w:t>für die</w:t>
      </w:r>
      <w:r w:rsidR="00A679E7" w:rsidRPr="00B90A22">
        <w:rPr>
          <w:rFonts w:ascii="Times New Roman" w:hAnsi="Times New Roman"/>
          <w:sz w:val="24"/>
          <w:szCs w:val="24"/>
        </w:rPr>
        <w:t xml:space="preserve"> </w:t>
      </w:r>
      <w:r w:rsidR="00CE6306" w:rsidRPr="00434D71">
        <w:rPr>
          <w:rFonts w:ascii="Times New Roman" w:hAnsi="Times New Roman"/>
          <w:sz w:val="24"/>
          <w:szCs w:val="24"/>
        </w:rPr>
        <w:t>Aufbewahrung</w:t>
      </w:r>
      <w:r w:rsidR="00434D71" w:rsidRPr="00434D71">
        <w:rPr>
          <w:rFonts w:ascii="Times New Roman" w:hAnsi="Times New Roman"/>
          <w:sz w:val="24"/>
          <w:szCs w:val="24"/>
        </w:rPr>
        <w:t xml:space="preserve"> </w:t>
      </w:r>
      <w:r w:rsidR="00A679E7" w:rsidRPr="00434D71">
        <w:rPr>
          <w:rFonts w:ascii="Times New Roman" w:hAnsi="Times New Roman"/>
          <w:sz w:val="24"/>
          <w:szCs w:val="24"/>
        </w:rPr>
        <w:t xml:space="preserve">und </w:t>
      </w:r>
      <w:r w:rsidR="003C5345" w:rsidRPr="00434D71">
        <w:rPr>
          <w:rFonts w:ascii="Times New Roman" w:hAnsi="Times New Roman"/>
          <w:sz w:val="24"/>
          <w:szCs w:val="24"/>
        </w:rPr>
        <w:t>Nut</w:t>
      </w:r>
      <w:r w:rsidR="003C5345" w:rsidRPr="00865D71">
        <w:rPr>
          <w:rFonts w:ascii="Times New Roman" w:hAnsi="Times New Roman"/>
          <w:sz w:val="24"/>
          <w:szCs w:val="24"/>
        </w:rPr>
        <w:t>zung</w:t>
      </w:r>
      <w:r w:rsidR="00A679E7" w:rsidRPr="00865D71">
        <w:rPr>
          <w:rFonts w:ascii="Times New Roman" w:hAnsi="Times New Roman"/>
          <w:sz w:val="24"/>
          <w:szCs w:val="24"/>
        </w:rPr>
        <w:t xml:space="preserve"> von Proben und Daten im Rahmen der Biobank sollte daher so eng wie möglich e</w:t>
      </w:r>
      <w:r w:rsidR="00A679E7" w:rsidRPr="00865D71">
        <w:rPr>
          <w:rFonts w:ascii="Times New Roman" w:hAnsi="Times New Roman"/>
          <w:sz w:val="24"/>
          <w:szCs w:val="24"/>
        </w:rPr>
        <w:t>r</w:t>
      </w:r>
      <w:r w:rsidR="00A679E7" w:rsidRPr="00865D71">
        <w:rPr>
          <w:rFonts w:ascii="Times New Roman" w:hAnsi="Times New Roman"/>
          <w:sz w:val="24"/>
          <w:szCs w:val="24"/>
        </w:rPr>
        <w:t>folgen.</w:t>
      </w:r>
      <w:r w:rsidR="00A679E7" w:rsidRPr="00B90A22">
        <w:rPr>
          <w:rFonts w:ascii="Times New Roman" w:hAnsi="Times New Roman"/>
          <w:sz w:val="24"/>
          <w:szCs w:val="24"/>
        </w:rPr>
        <w:t xml:space="preserve"> Der Z</w:t>
      </w:r>
      <w:r w:rsidR="003C5345" w:rsidRPr="00B90A22">
        <w:rPr>
          <w:rFonts w:ascii="Times New Roman" w:hAnsi="Times New Roman"/>
          <w:sz w:val="24"/>
          <w:szCs w:val="24"/>
        </w:rPr>
        <w:t>weck kann zum Beispiel die Durchführung einer bestimmten Studie oder die Erforschung einer bestimmten Krankheit oder eines bestimmten Krankheitstyps</w:t>
      </w:r>
      <w:r w:rsidRPr="00B90A22">
        <w:rPr>
          <w:rFonts w:ascii="Times New Roman" w:hAnsi="Times New Roman"/>
          <w:sz w:val="24"/>
          <w:szCs w:val="24"/>
        </w:rPr>
        <w:t xml:space="preserve"> sein</w:t>
      </w:r>
      <w:r w:rsidR="003C5345" w:rsidRPr="00B90A22">
        <w:rPr>
          <w:rFonts w:ascii="Times New Roman" w:hAnsi="Times New Roman"/>
          <w:sz w:val="24"/>
          <w:szCs w:val="24"/>
        </w:rPr>
        <w:t>.</w:t>
      </w:r>
    </w:p>
    <w:p w14:paraId="53CB63D7" w14:textId="297E2558" w:rsidR="00AF0C3F" w:rsidRPr="00B90A22" w:rsidRDefault="003C5345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Entwicklungsoffenheit der </w:t>
      </w:r>
      <w:r w:rsidR="00F05BDC" w:rsidRPr="00B90A22">
        <w:rPr>
          <w:rFonts w:ascii="Times New Roman" w:hAnsi="Times New Roman"/>
          <w:sz w:val="24"/>
          <w:szCs w:val="24"/>
        </w:rPr>
        <w:t xml:space="preserve">zukünftigen </w:t>
      </w:r>
      <w:r w:rsidRPr="00B90A22">
        <w:rPr>
          <w:rFonts w:ascii="Times New Roman" w:hAnsi="Times New Roman"/>
          <w:sz w:val="24"/>
          <w:szCs w:val="24"/>
        </w:rPr>
        <w:t xml:space="preserve">medizinischen </w:t>
      </w:r>
      <w:r w:rsidR="00F05BDC" w:rsidRPr="00B90A22">
        <w:rPr>
          <w:rFonts w:ascii="Times New Roman" w:hAnsi="Times New Roman"/>
          <w:sz w:val="24"/>
          <w:szCs w:val="24"/>
        </w:rPr>
        <w:t>Fragestellungen und Herausford</w:t>
      </w:r>
      <w:r w:rsidR="00F05BDC" w:rsidRPr="00B90A22">
        <w:rPr>
          <w:rFonts w:ascii="Times New Roman" w:hAnsi="Times New Roman"/>
          <w:sz w:val="24"/>
          <w:szCs w:val="24"/>
        </w:rPr>
        <w:t>e</w:t>
      </w:r>
      <w:r w:rsidR="00F05BDC" w:rsidRPr="00B90A22">
        <w:rPr>
          <w:rFonts w:ascii="Times New Roman" w:hAnsi="Times New Roman"/>
          <w:sz w:val="24"/>
          <w:szCs w:val="24"/>
        </w:rPr>
        <w:t>rungen</w:t>
      </w:r>
      <w:r w:rsidRPr="00B90A22">
        <w:rPr>
          <w:rFonts w:ascii="Times New Roman" w:hAnsi="Times New Roman"/>
          <w:sz w:val="24"/>
          <w:szCs w:val="24"/>
        </w:rPr>
        <w:t xml:space="preserve"> macht jedoch auch die Errichtung von Biobanken mit offener Zweckbestimmung e</w:t>
      </w:r>
      <w:r w:rsidRPr="00B90A22">
        <w:rPr>
          <w:rFonts w:ascii="Times New Roman" w:hAnsi="Times New Roman"/>
          <w:sz w:val="24"/>
          <w:szCs w:val="24"/>
        </w:rPr>
        <w:t>r</w:t>
      </w:r>
      <w:r w:rsidRPr="00B90A22">
        <w:rPr>
          <w:rFonts w:ascii="Times New Roman" w:hAnsi="Times New Roman"/>
          <w:sz w:val="24"/>
          <w:szCs w:val="24"/>
        </w:rPr>
        <w:t xml:space="preserve">forderlich und kann sie unter </w:t>
      </w:r>
      <w:r w:rsidR="00F05BDC" w:rsidRPr="00B90A22">
        <w:rPr>
          <w:rFonts w:ascii="Times New Roman" w:hAnsi="Times New Roman"/>
          <w:sz w:val="24"/>
          <w:szCs w:val="24"/>
        </w:rPr>
        <w:t>dem Aspekt der Eröffnung neuer medizinischer Forschungsmö</w:t>
      </w:r>
      <w:r w:rsidR="00F05BDC" w:rsidRPr="00B90A22">
        <w:rPr>
          <w:rFonts w:ascii="Times New Roman" w:hAnsi="Times New Roman"/>
          <w:sz w:val="24"/>
          <w:szCs w:val="24"/>
        </w:rPr>
        <w:t>g</w:t>
      </w:r>
      <w:r w:rsidR="00F05BDC" w:rsidRPr="00B90A22">
        <w:rPr>
          <w:rFonts w:ascii="Times New Roman" w:hAnsi="Times New Roman"/>
          <w:sz w:val="24"/>
          <w:szCs w:val="24"/>
        </w:rPr>
        <w:t xml:space="preserve">lichkeiten und der Optimierung der Gesundheitsversorgung </w:t>
      </w:r>
      <w:r w:rsidRPr="00B90A22">
        <w:rPr>
          <w:rFonts w:ascii="Times New Roman" w:hAnsi="Times New Roman"/>
          <w:sz w:val="24"/>
          <w:szCs w:val="24"/>
        </w:rPr>
        <w:t xml:space="preserve">legitimieren. </w:t>
      </w:r>
      <w:r w:rsidR="00F05BDC" w:rsidRPr="00B90A22">
        <w:rPr>
          <w:rFonts w:ascii="Times New Roman" w:hAnsi="Times New Roman"/>
          <w:sz w:val="24"/>
          <w:szCs w:val="24"/>
        </w:rPr>
        <w:t xml:space="preserve">Allerdings ist die fehlende Bestimmtheit des Verwendungszwecks als Voraussetzung für die Wirksamkeit der Einwilligung des Spenders </w:t>
      </w:r>
      <w:r w:rsidR="006E3848">
        <w:rPr>
          <w:rFonts w:ascii="Times New Roman" w:hAnsi="Times New Roman"/>
          <w:sz w:val="24"/>
          <w:szCs w:val="24"/>
        </w:rPr>
        <w:t xml:space="preserve">verfahrensmäßig </w:t>
      </w:r>
      <w:r w:rsidR="00F05BDC" w:rsidRPr="00B90A22">
        <w:rPr>
          <w:rFonts w:ascii="Times New Roman" w:hAnsi="Times New Roman"/>
          <w:sz w:val="24"/>
          <w:szCs w:val="24"/>
        </w:rPr>
        <w:t>zu kompensieren</w:t>
      </w:r>
      <w:r w:rsidR="006E3848">
        <w:rPr>
          <w:rFonts w:ascii="Times New Roman" w:hAnsi="Times New Roman"/>
          <w:sz w:val="24"/>
          <w:szCs w:val="24"/>
        </w:rPr>
        <w:t>:</w:t>
      </w:r>
      <w:r w:rsidR="00791879" w:rsidRPr="00B90A22">
        <w:rPr>
          <w:rFonts w:ascii="Times New Roman" w:hAnsi="Times New Roman"/>
          <w:sz w:val="24"/>
          <w:szCs w:val="24"/>
        </w:rPr>
        <w:t xml:space="preserve"> Eine besondere Bedeutung kommt dabei der Rolle der Ethik-Kommissionen bei Errichtung von Biobanken und der B</w:t>
      </w:r>
      <w:r w:rsidR="00791879" w:rsidRPr="00B90A22">
        <w:rPr>
          <w:rFonts w:ascii="Times New Roman" w:hAnsi="Times New Roman"/>
          <w:sz w:val="24"/>
          <w:szCs w:val="24"/>
        </w:rPr>
        <w:t>e</w:t>
      </w:r>
      <w:r w:rsidR="00791879" w:rsidRPr="00B90A22">
        <w:rPr>
          <w:rFonts w:ascii="Times New Roman" w:hAnsi="Times New Roman"/>
          <w:sz w:val="24"/>
          <w:szCs w:val="24"/>
        </w:rPr>
        <w:t>wertung der einzelnen Forschungsvorhaben zu (s.o. Ziff. 2).</w:t>
      </w:r>
      <w:r w:rsidR="003A65D6" w:rsidRPr="00B90A22">
        <w:rPr>
          <w:rFonts w:ascii="Times New Roman" w:hAnsi="Times New Roman"/>
          <w:sz w:val="24"/>
          <w:szCs w:val="24"/>
        </w:rPr>
        <w:t xml:space="preserve"> </w:t>
      </w:r>
      <w:r w:rsidR="003873E1" w:rsidRPr="00B90A22">
        <w:rPr>
          <w:rFonts w:ascii="Times New Roman" w:hAnsi="Times New Roman"/>
          <w:sz w:val="24"/>
          <w:szCs w:val="24"/>
        </w:rPr>
        <w:t>Der  Spender ist zudem über die Offenheit der Zweckbestimmung unmissverständlich aufzuklären.</w:t>
      </w:r>
      <w:r w:rsidR="003A65D6" w:rsidRPr="00B90A22">
        <w:rPr>
          <w:rFonts w:ascii="Times New Roman" w:hAnsi="Times New Roman"/>
          <w:sz w:val="24"/>
          <w:szCs w:val="24"/>
        </w:rPr>
        <w:t xml:space="preserve"> </w:t>
      </w:r>
      <w:r w:rsidR="003873E1" w:rsidRPr="00B90A22">
        <w:rPr>
          <w:rFonts w:ascii="Times New Roman" w:hAnsi="Times New Roman"/>
          <w:sz w:val="24"/>
          <w:szCs w:val="24"/>
        </w:rPr>
        <w:t>Dem Spender kann die Möglichkeit eingeräumt werden,</w:t>
      </w:r>
      <w:r w:rsidR="00AF0C3F" w:rsidRPr="00B90A22">
        <w:rPr>
          <w:rFonts w:ascii="Times New Roman" w:hAnsi="Times New Roman"/>
          <w:sz w:val="24"/>
          <w:szCs w:val="24"/>
        </w:rPr>
        <w:t xml:space="preserve"> bestimmte Forschungsrichtungen oder Maßnahmen von der Nutzung auszuschließen.</w:t>
      </w:r>
    </w:p>
    <w:p w14:paraId="3CC2019A" w14:textId="48D1929B" w:rsidR="00AF0C3F" w:rsidRPr="00865D71" w:rsidRDefault="00AF0C3F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865D71">
        <w:rPr>
          <w:rFonts w:ascii="Times New Roman" w:hAnsi="Times New Roman"/>
          <w:sz w:val="24"/>
          <w:szCs w:val="24"/>
        </w:rPr>
        <w:t xml:space="preserve">c) Datenschutz und </w:t>
      </w:r>
      <w:r w:rsidR="00FA1770">
        <w:rPr>
          <w:rFonts w:ascii="Times New Roman" w:hAnsi="Times New Roman"/>
          <w:sz w:val="24"/>
          <w:szCs w:val="24"/>
        </w:rPr>
        <w:t>Pseudonymisierung</w:t>
      </w:r>
    </w:p>
    <w:p w14:paraId="79C44A42" w14:textId="2766F35D" w:rsidR="00AF0C3F" w:rsidRPr="00B90A22" w:rsidRDefault="00B90A22" w:rsidP="00E52E0E">
      <w:pPr>
        <w:pStyle w:val="berschrift31"/>
        <w:spacing w:after="120"/>
        <w:rPr>
          <w:rFonts w:ascii="Times New Roman" w:hAnsi="Times New Roman"/>
          <w:sz w:val="24"/>
          <w:szCs w:val="24"/>
        </w:rPr>
      </w:pPr>
      <w:r w:rsidRPr="00865D71">
        <w:rPr>
          <w:rFonts w:ascii="Times New Roman" w:hAnsi="Times New Roman"/>
          <w:sz w:val="24"/>
          <w:szCs w:val="24"/>
        </w:rPr>
        <w:t>c1</w:t>
      </w:r>
      <w:r w:rsidR="00514210" w:rsidRPr="00865D71">
        <w:rPr>
          <w:rFonts w:ascii="Times New Roman" w:hAnsi="Times New Roman"/>
          <w:sz w:val="24"/>
          <w:szCs w:val="24"/>
        </w:rPr>
        <w:t xml:space="preserve">) </w:t>
      </w:r>
      <w:r w:rsidR="00FA1770">
        <w:rPr>
          <w:rFonts w:ascii="Times New Roman" w:hAnsi="Times New Roman"/>
          <w:sz w:val="24"/>
          <w:szCs w:val="24"/>
        </w:rPr>
        <w:t>Pseudonymisierung</w:t>
      </w:r>
      <w:r w:rsidR="003873E1" w:rsidRPr="00865D71">
        <w:rPr>
          <w:rFonts w:ascii="Times New Roman" w:hAnsi="Times New Roman"/>
          <w:sz w:val="24"/>
          <w:szCs w:val="24"/>
        </w:rPr>
        <w:t xml:space="preserve"> bei der Speicherung und Archivierung</w:t>
      </w:r>
    </w:p>
    <w:p w14:paraId="0A07680E" w14:textId="1E7909B9" w:rsidR="00AF0C3F" w:rsidRPr="00B90A22" w:rsidRDefault="00AF0C3F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Biomaterial</w:t>
      </w:r>
      <w:r w:rsidR="00434D71">
        <w:rPr>
          <w:rFonts w:ascii="Times New Roman" w:hAnsi="Times New Roman"/>
          <w:sz w:val="24"/>
          <w:szCs w:val="24"/>
        </w:rPr>
        <w:t>ien</w:t>
      </w:r>
      <w:r w:rsidRPr="00B90A22">
        <w:rPr>
          <w:rFonts w:ascii="Times New Roman" w:hAnsi="Times New Roman"/>
          <w:sz w:val="24"/>
          <w:szCs w:val="24"/>
        </w:rPr>
        <w:t xml:space="preserve"> und die zugehörigen personenbezogenen Daten dürfen </w:t>
      </w:r>
      <w:r w:rsidR="00431F68">
        <w:rPr>
          <w:rFonts w:ascii="Times New Roman" w:hAnsi="Times New Roman"/>
          <w:sz w:val="24"/>
          <w:szCs w:val="24"/>
        </w:rPr>
        <w:t>grundsätzlich</w:t>
      </w:r>
      <w:r w:rsidR="00B5687D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 xml:space="preserve">nur in zumindest doppelt </w:t>
      </w:r>
      <w:r w:rsidR="006E3848">
        <w:rPr>
          <w:rFonts w:ascii="Times New Roman" w:hAnsi="Times New Roman"/>
          <w:sz w:val="24"/>
          <w:szCs w:val="24"/>
        </w:rPr>
        <w:t>pseudonymisierter</w:t>
      </w:r>
      <w:r w:rsidR="006E3848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 xml:space="preserve">Form </w:t>
      </w:r>
      <w:r w:rsidR="00B5687D" w:rsidRPr="00434D71">
        <w:rPr>
          <w:rFonts w:ascii="Times New Roman" w:hAnsi="Times New Roman"/>
          <w:sz w:val="24"/>
          <w:szCs w:val="24"/>
        </w:rPr>
        <w:t>aufbewahrt bzw. gespeichert</w:t>
      </w:r>
      <w:r w:rsidR="00B5687D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>werden</w:t>
      </w:r>
      <w:r w:rsidR="006C531E" w:rsidRPr="00B90A22">
        <w:rPr>
          <w:rFonts w:ascii="Times New Roman" w:hAnsi="Times New Roman"/>
          <w:sz w:val="24"/>
          <w:szCs w:val="24"/>
        </w:rPr>
        <w:t xml:space="preserve">, um eine </w:t>
      </w:r>
      <w:r w:rsidR="006C531E" w:rsidRPr="00B90A22">
        <w:rPr>
          <w:rFonts w:ascii="Times New Roman" w:hAnsi="Times New Roman"/>
          <w:sz w:val="24"/>
          <w:szCs w:val="24"/>
        </w:rPr>
        <w:lastRenderedPageBreak/>
        <w:t>hinreichend sichere Pseudonymisierung zu erreichen</w:t>
      </w:r>
      <w:r w:rsidRPr="00B90A22">
        <w:rPr>
          <w:rFonts w:ascii="Times New Roman" w:hAnsi="Times New Roman"/>
          <w:sz w:val="24"/>
          <w:szCs w:val="24"/>
        </w:rPr>
        <w:t>.</w:t>
      </w:r>
      <w:r w:rsidR="004935ED" w:rsidRPr="00B90A22">
        <w:rPr>
          <w:rStyle w:val="Funotenzeichen"/>
          <w:rFonts w:ascii="Times New Roman" w:hAnsi="Times New Roman"/>
          <w:sz w:val="24"/>
          <w:szCs w:val="24"/>
        </w:rPr>
        <w:footnoteReference w:id="3"/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F87908">
        <w:rPr>
          <w:rFonts w:ascii="Times New Roman" w:hAnsi="Times New Roman"/>
          <w:sz w:val="24"/>
          <w:szCs w:val="24"/>
        </w:rPr>
        <w:t xml:space="preserve">Dabei sollen die pseudonymisierten Daten unter Einbeziehung </w:t>
      </w:r>
      <w:r w:rsidR="006B48D5">
        <w:rPr>
          <w:rFonts w:ascii="Times New Roman" w:hAnsi="Times New Roman"/>
          <w:sz w:val="24"/>
          <w:szCs w:val="24"/>
        </w:rPr>
        <w:t xml:space="preserve">eines Datentreuhänders </w:t>
      </w:r>
      <w:r w:rsidR="00F87908">
        <w:rPr>
          <w:rFonts w:ascii="Times New Roman" w:hAnsi="Times New Roman"/>
          <w:sz w:val="24"/>
          <w:szCs w:val="24"/>
        </w:rPr>
        <w:t>(z.B. eines Datenschutzbeauftragte</w:t>
      </w:r>
      <w:r w:rsidR="006B48D5">
        <w:rPr>
          <w:rFonts w:ascii="Times New Roman" w:hAnsi="Times New Roman"/>
          <w:sz w:val="24"/>
          <w:szCs w:val="24"/>
        </w:rPr>
        <w:t>n</w:t>
      </w:r>
      <w:r w:rsidR="00F87908">
        <w:rPr>
          <w:rFonts w:ascii="Times New Roman" w:hAnsi="Times New Roman"/>
          <w:sz w:val="24"/>
          <w:szCs w:val="24"/>
        </w:rPr>
        <w:t xml:space="preserve">) </w:t>
      </w:r>
      <w:r w:rsidR="006B48D5">
        <w:rPr>
          <w:rFonts w:ascii="Times New Roman" w:hAnsi="Times New Roman"/>
          <w:sz w:val="24"/>
          <w:szCs w:val="24"/>
        </w:rPr>
        <w:t xml:space="preserve">bei zwei voneinander unabhängigen Stellen </w:t>
      </w:r>
      <w:r w:rsidR="00C52B7B">
        <w:rPr>
          <w:rFonts w:ascii="Times New Roman" w:hAnsi="Times New Roman"/>
          <w:sz w:val="24"/>
          <w:szCs w:val="24"/>
        </w:rPr>
        <w:t>mit getrennter Verantwortung</w:t>
      </w:r>
      <w:r w:rsidR="006B48D5">
        <w:rPr>
          <w:rFonts w:ascii="Times New Roman" w:hAnsi="Times New Roman"/>
          <w:sz w:val="24"/>
          <w:szCs w:val="24"/>
        </w:rPr>
        <w:t xml:space="preserve"> verwaltet werden.</w:t>
      </w:r>
      <w:r w:rsidR="006B48D5" w:rsidRPr="006B48D5">
        <w:rPr>
          <w:rStyle w:val="Funotenzeichen"/>
          <w:rFonts w:ascii="Times New Roman" w:hAnsi="Times New Roman"/>
          <w:sz w:val="24"/>
          <w:szCs w:val="24"/>
        </w:rPr>
        <w:footnoteReference w:id="4"/>
      </w:r>
      <w:r w:rsidR="006B48D5">
        <w:rPr>
          <w:rFonts w:ascii="Times New Roman" w:hAnsi="Times New Roman"/>
          <w:sz w:val="24"/>
          <w:szCs w:val="24"/>
        </w:rPr>
        <w:t xml:space="preserve"> </w:t>
      </w:r>
      <w:r w:rsidR="00431F68">
        <w:rPr>
          <w:rFonts w:ascii="Times New Roman" w:hAnsi="Times New Roman"/>
          <w:sz w:val="24"/>
          <w:szCs w:val="24"/>
        </w:rPr>
        <w:t>Niedrigere Standards bedürfen im Einzelfall einer besonderen Begründung.</w:t>
      </w:r>
    </w:p>
    <w:p w14:paraId="592FA1F9" w14:textId="63472AF8" w:rsidR="00D65E2D" w:rsidRPr="00B90A22" w:rsidRDefault="00D65E2D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Eine Anonymisierung ist </w:t>
      </w:r>
      <w:r w:rsidR="003873E1" w:rsidRPr="00B90A22">
        <w:rPr>
          <w:rFonts w:ascii="Times New Roman" w:hAnsi="Times New Roman"/>
          <w:sz w:val="24"/>
          <w:szCs w:val="24"/>
        </w:rPr>
        <w:t>vorzusehen</w:t>
      </w:r>
      <w:r w:rsidRPr="00B90A22">
        <w:rPr>
          <w:rFonts w:ascii="Times New Roman" w:hAnsi="Times New Roman"/>
          <w:sz w:val="24"/>
          <w:szCs w:val="24"/>
        </w:rPr>
        <w:t xml:space="preserve">, </w:t>
      </w:r>
      <w:r w:rsidR="006773D0">
        <w:rPr>
          <w:rFonts w:ascii="Times New Roman" w:hAnsi="Times New Roman"/>
          <w:sz w:val="24"/>
          <w:szCs w:val="24"/>
        </w:rPr>
        <w:t>sobald</w:t>
      </w:r>
      <w:r w:rsidR="006773D0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>ein Personenbezug zur Bearbeitung der wisse</w:t>
      </w:r>
      <w:r w:rsidRPr="00B90A22">
        <w:rPr>
          <w:rFonts w:ascii="Times New Roman" w:hAnsi="Times New Roman"/>
          <w:sz w:val="24"/>
          <w:szCs w:val="24"/>
        </w:rPr>
        <w:t>n</w:t>
      </w:r>
      <w:r w:rsidRPr="00B90A22">
        <w:rPr>
          <w:rFonts w:ascii="Times New Roman" w:hAnsi="Times New Roman"/>
          <w:sz w:val="24"/>
          <w:szCs w:val="24"/>
        </w:rPr>
        <w:t>schaftlichen Fragestellung</w:t>
      </w:r>
      <w:r w:rsidR="006773D0">
        <w:rPr>
          <w:rFonts w:ascii="Times New Roman" w:hAnsi="Times New Roman"/>
          <w:sz w:val="24"/>
          <w:szCs w:val="24"/>
        </w:rPr>
        <w:t>en</w:t>
      </w:r>
      <w:r w:rsidRPr="00B90A22">
        <w:rPr>
          <w:rFonts w:ascii="Times New Roman" w:hAnsi="Times New Roman"/>
          <w:sz w:val="24"/>
          <w:szCs w:val="24"/>
        </w:rPr>
        <w:t xml:space="preserve"> nicht oder nicht mehr erforderlich ist</w:t>
      </w:r>
      <w:r w:rsidR="006E3848">
        <w:rPr>
          <w:rFonts w:ascii="Times New Roman" w:hAnsi="Times New Roman"/>
          <w:sz w:val="24"/>
          <w:szCs w:val="24"/>
        </w:rPr>
        <w:t xml:space="preserve"> und keine schutzwürdigen Belange des </w:t>
      </w:r>
      <w:r w:rsidR="007410EA">
        <w:rPr>
          <w:rFonts w:ascii="Times New Roman" w:hAnsi="Times New Roman"/>
          <w:sz w:val="24"/>
          <w:szCs w:val="24"/>
        </w:rPr>
        <w:t>S</w:t>
      </w:r>
      <w:r w:rsidR="006E3848">
        <w:rPr>
          <w:rFonts w:ascii="Times New Roman" w:hAnsi="Times New Roman"/>
          <w:sz w:val="24"/>
          <w:szCs w:val="24"/>
        </w:rPr>
        <w:t xml:space="preserve">penders entgegenstehen. </w:t>
      </w:r>
    </w:p>
    <w:p w14:paraId="1365B2D7" w14:textId="77A74A13" w:rsidR="00D65E2D" w:rsidRPr="00B90A22" w:rsidRDefault="00B90A22" w:rsidP="00E52E0E">
      <w:pPr>
        <w:pStyle w:val="berschrift31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c2</w:t>
      </w:r>
      <w:r w:rsidR="00514210" w:rsidRPr="00B90A22">
        <w:rPr>
          <w:rFonts w:ascii="Times New Roman" w:hAnsi="Times New Roman"/>
          <w:sz w:val="24"/>
          <w:szCs w:val="24"/>
        </w:rPr>
        <w:t xml:space="preserve">) </w:t>
      </w:r>
      <w:r w:rsidR="00FA1770">
        <w:rPr>
          <w:rFonts w:ascii="Times New Roman" w:hAnsi="Times New Roman"/>
          <w:sz w:val="24"/>
          <w:szCs w:val="24"/>
        </w:rPr>
        <w:t>Pseudonymisierung</w:t>
      </w:r>
      <w:r w:rsidR="00D65E2D" w:rsidRPr="00B90A22">
        <w:rPr>
          <w:rFonts w:ascii="Times New Roman" w:hAnsi="Times New Roman"/>
          <w:sz w:val="24"/>
          <w:szCs w:val="24"/>
        </w:rPr>
        <w:t xml:space="preserve"> bei Herausgabe </w:t>
      </w:r>
      <w:r w:rsidR="003F5011" w:rsidRPr="00B90A22">
        <w:rPr>
          <w:rFonts w:ascii="Times New Roman" w:hAnsi="Times New Roman"/>
          <w:sz w:val="24"/>
          <w:szCs w:val="24"/>
        </w:rPr>
        <w:t xml:space="preserve">bzw. Verwendung </w:t>
      </w:r>
      <w:r w:rsidR="00D65E2D" w:rsidRPr="00B90A22">
        <w:rPr>
          <w:rFonts w:ascii="Times New Roman" w:hAnsi="Times New Roman"/>
          <w:sz w:val="24"/>
          <w:szCs w:val="24"/>
        </w:rPr>
        <w:t>von Proben/Daten</w:t>
      </w:r>
    </w:p>
    <w:p w14:paraId="2CB890E8" w14:textId="5662FE86" w:rsidR="00C52B7B" w:rsidRPr="00C52B7B" w:rsidRDefault="003F5011" w:rsidP="00C52B7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Es dürfen nur mindestens doppelt </w:t>
      </w:r>
      <w:r w:rsidR="00FA1770">
        <w:rPr>
          <w:rFonts w:ascii="Times New Roman" w:hAnsi="Times New Roman"/>
          <w:sz w:val="24"/>
          <w:szCs w:val="24"/>
        </w:rPr>
        <w:t>pseudonymisierte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3873E1" w:rsidRPr="00B90A22">
        <w:rPr>
          <w:rFonts w:ascii="Times New Roman" w:hAnsi="Times New Roman"/>
          <w:sz w:val="24"/>
          <w:szCs w:val="24"/>
        </w:rPr>
        <w:t xml:space="preserve">Proben und Daten </w:t>
      </w:r>
      <w:r w:rsidRPr="00B90A22">
        <w:rPr>
          <w:rFonts w:ascii="Times New Roman" w:hAnsi="Times New Roman"/>
          <w:sz w:val="24"/>
          <w:szCs w:val="24"/>
        </w:rPr>
        <w:t xml:space="preserve">(s.o.) </w:t>
      </w:r>
      <w:r w:rsidR="003873E1" w:rsidRPr="00B90A22">
        <w:rPr>
          <w:rFonts w:ascii="Times New Roman" w:hAnsi="Times New Roman"/>
          <w:sz w:val="24"/>
          <w:szCs w:val="24"/>
        </w:rPr>
        <w:t>für Forschung</w:t>
      </w:r>
      <w:r w:rsidR="003873E1" w:rsidRPr="00B90A22">
        <w:rPr>
          <w:rFonts w:ascii="Times New Roman" w:hAnsi="Times New Roman"/>
          <w:sz w:val="24"/>
          <w:szCs w:val="24"/>
        </w:rPr>
        <w:t>s</w:t>
      </w:r>
      <w:r w:rsidR="003873E1" w:rsidRPr="00B90A22">
        <w:rPr>
          <w:rFonts w:ascii="Times New Roman" w:hAnsi="Times New Roman"/>
          <w:sz w:val="24"/>
          <w:szCs w:val="24"/>
        </w:rPr>
        <w:t>vorhaben herausgegeben</w:t>
      </w:r>
      <w:r w:rsidRPr="00B90A22">
        <w:rPr>
          <w:rFonts w:ascii="Times New Roman" w:hAnsi="Times New Roman"/>
          <w:sz w:val="24"/>
          <w:szCs w:val="24"/>
        </w:rPr>
        <w:t xml:space="preserve"> bzw. verwendet </w:t>
      </w:r>
      <w:r w:rsidR="003873E1" w:rsidRPr="00B90A22">
        <w:rPr>
          <w:rFonts w:ascii="Times New Roman" w:hAnsi="Times New Roman"/>
          <w:sz w:val="24"/>
          <w:szCs w:val="24"/>
        </w:rPr>
        <w:t xml:space="preserve"> werden</w:t>
      </w:r>
      <w:r w:rsidRPr="00B90A22">
        <w:rPr>
          <w:rFonts w:ascii="Times New Roman" w:hAnsi="Times New Roman"/>
          <w:sz w:val="24"/>
          <w:szCs w:val="24"/>
        </w:rPr>
        <w:t>.</w:t>
      </w:r>
      <w:r w:rsidR="00D65E2D" w:rsidRPr="00B90A22">
        <w:rPr>
          <w:rFonts w:ascii="Times New Roman" w:hAnsi="Times New Roman"/>
          <w:sz w:val="24"/>
          <w:szCs w:val="24"/>
        </w:rPr>
        <w:t xml:space="preserve"> </w:t>
      </w:r>
      <w:r w:rsidR="00C52B7B" w:rsidRPr="00C52B7B">
        <w:rPr>
          <w:rFonts w:ascii="Times New Roman" w:hAnsi="Times New Roman"/>
          <w:sz w:val="24"/>
          <w:szCs w:val="24"/>
        </w:rPr>
        <w:t>Die bei der Herausgabe verwendeten Pseudonyme dürfen nicht mit den bei der Lagerung bzw. Speicherung verwendeten Pseud</w:t>
      </w:r>
      <w:r w:rsidR="00C52B7B" w:rsidRPr="00C52B7B">
        <w:rPr>
          <w:rFonts w:ascii="Times New Roman" w:hAnsi="Times New Roman"/>
          <w:sz w:val="24"/>
          <w:szCs w:val="24"/>
        </w:rPr>
        <w:t>o</w:t>
      </w:r>
      <w:r w:rsidR="00C52B7B" w:rsidRPr="00C52B7B">
        <w:rPr>
          <w:rFonts w:ascii="Times New Roman" w:hAnsi="Times New Roman"/>
          <w:sz w:val="24"/>
          <w:szCs w:val="24"/>
        </w:rPr>
        <w:t>ny</w:t>
      </w:r>
      <w:r w:rsidR="00C52B7B">
        <w:rPr>
          <w:rFonts w:ascii="Times New Roman" w:hAnsi="Times New Roman"/>
          <w:sz w:val="24"/>
          <w:szCs w:val="24"/>
        </w:rPr>
        <w:t>men übereinstimmen.</w:t>
      </w:r>
    </w:p>
    <w:p w14:paraId="3F8A8C5E" w14:textId="762E2D6A" w:rsidR="00D65E2D" w:rsidRPr="00B90A22" w:rsidRDefault="00D65E2D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Im Rahmen des Daten- und Probennutzungsvertrages </w:t>
      </w:r>
      <w:r w:rsidR="003F5011" w:rsidRPr="00B90A22">
        <w:rPr>
          <w:rFonts w:ascii="Times New Roman" w:hAnsi="Times New Roman"/>
          <w:sz w:val="24"/>
          <w:szCs w:val="24"/>
        </w:rPr>
        <w:t xml:space="preserve">haben </w:t>
      </w:r>
      <w:r w:rsidRPr="00B90A22">
        <w:rPr>
          <w:rFonts w:ascii="Times New Roman" w:hAnsi="Times New Roman"/>
          <w:sz w:val="24"/>
          <w:szCs w:val="24"/>
        </w:rPr>
        <w:t>die Forscher zu</w:t>
      </w:r>
      <w:r w:rsidR="003F5011" w:rsidRPr="00B90A22">
        <w:rPr>
          <w:rFonts w:ascii="Times New Roman" w:hAnsi="Times New Roman"/>
          <w:sz w:val="24"/>
          <w:szCs w:val="24"/>
        </w:rPr>
        <w:t>zusichern</w:t>
      </w:r>
      <w:r w:rsidRPr="00B90A22">
        <w:rPr>
          <w:rFonts w:ascii="Times New Roman" w:hAnsi="Times New Roman"/>
          <w:sz w:val="24"/>
          <w:szCs w:val="24"/>
        </w:rPr>
        <w:t>, keinen Versuch zu unternehmen, Personen zu identifizieren</w:t>
      </w:r>
      <w:r w:rsidR="003F5011" w:rsidRPr="00B90A22">
        <w:rPr>
          <w:rFonts w:ascii="Times New Roman" w:hAnsi="Times New Roman"/>
          <w:sz w:val="24"/>
          <w:szCs w:val="24"/>
        </w:rPr>
        <w:t>,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3F5011" w:rsidRPr="00B90A22">
        <w:rPr>
          <w:rFonts w:ascii="Times New Roman" w:hAnsi="Times New Roman"/>
          <w:sz w:val="24"/>
          <w:szCs w:val="24"/>
        </w:rPr>
        <w:t>deren</w:t>
      </w:r>
      <w:r w:rsidRPr="00B90A22">
        <w:rPr>
          <w:rFonts w:ascii="Times New Roman" w:hAnsi="Times New Roman"/>
          <w:sz w:val="24"/>
          <w:szCs w:val="24"/>
        </w:rPr>
        <w:t xml:space="preserve"> Proben</w:t>
      </w:r>
      <w:r w:rsidR="003F5011" w:rsidRPr="00B90A22">
        <w:rPr>
          <w:rFonts w:ascii="Times New Roman" w:hAnsi="Times New Roman"/>
          <w:sz w:val="24"/>
          <w:szCs w:val="24"/>
        </w:rPr>
        <w:t xml:space="preserve"> bzw. </w:t>
      </w:r>
      <w:r w:rsidRPr="00B90A22">
        <w:rPr>
          <w:rFonts w:ascii="Times New Roman" w:hAnsi="Times New Roman"/>
          <w:sz w:val="24"/>
          <w:szCs w:val="24"/>
        </w:rPr>
        <w:t xml:space="preserve">Daten </w:t>
      </w:r>
      <w:r w:rsidR="003F5011" w:rsidRPr="00B90A22">
        <w:rPr>
          <w:rFonts w:ascii="Times New Roman" w:hAnsi="Times New Roman"/>
          <w:sz w:val="24"/>
          <w:szCs w:val="24"/>
        </w:rPr>
        <w:t xml:space="preserve">sie </w:t>
      </w:r>
      <w:r w:rsidRPr="00B90A22">
        <w:rPr>
          <w:rFonts w:ascii="Times New Roman" w:hAnsi="Times New Roman"/>
          <w:sz w:val="24"/>
          <w:szCs w:val="24"/>
        </w:rPr>
        <w:t>erhalten haben.</w:t>
      </w:r>
      <w:r w:rsidR="00331AF8" w:rsidRPr="00B90A22">
        <w:rPr>
          <w:rFonts w:ascii="Times New Roman" w:hAnsi="Times New Roman"/>
          <w:sz w:val="24"/>
          <w:szCs w:val="24"/>
        </w:rPr>
        <w:t xml:space="preserve"> Proben und Daten dürfen nur </w:t>
      </w:r>
      <w:r w:rsidR="006773D0">
        <w:rPr>
          <w:rFonts w:ascii="Times New Roman" w:hAnsi="Times New Roman"/>
          <w:sz w:val="24"/>
          <w:szCs w:val="24"/>
        </w:rPr>
        <w:t xml:space="preserve">in doppelt </w:t>
      </w:r>
      <w:r w:rsidR="00FA1770">
        <w:rPr>
          <w:rFonts w:ascii="Times New Roman" w:hAnsi="Times New Roman"/>
          <w:sz w:val="24"/>
          <w:szCs w:val="24"/>
        </w:rPr>
        <w:t>pseudonymisierer</w:t>
      </w:r>
      <w:r w:rsidR="006773D0">
        <w:rPr>
          <w:rFonts w:ascii="Times New Roman" w:hAnsi="Times New Roman"/>
          <w:sz w:val="24"/>
          <w:szCs w:val="24"/>
        </w:rPr>
        <w:t xml:space="preserve"> Form und nur </w:t>
      </w:r>
      <w:r w:rsidR="00331AF8" w:rsidRPr="00B90A22">
        <w:rPr>
          <w:rFonts w:ascii="Times New Roman" w:hAnsi="Times New Roman"/>
          <w:sz w:val="24"/>
          <w:szCs w:val="24"/>
        </w:rPr>
        <w:t>an Projekte und Einrichtungen weitergegeben werden, die ein geeignetes Datenschutzkonzept vorweisen können.</w:t>
      </w:r>
      <w:r w:rsidR="00387304" w:rsidRPr="00B90A22">
        <w:rPr>
          <w:rFonts w:ascii="Times New Roman" w:hAnsi="Times New Roman"/>
          <w:sz w:val="24"/>
          <w:szCs w:val="24"/>
        </w:rPr>
        <w:t xml:space="preserve"> </w:t>
      </w:r>
      <w:r w:rsidR="00387304" w:rsidRPr="00DD2968">
        <w:rPr>
          <w:rFonts w:ascii="Times New Roman" w:hAnsi="Times New Roman"/>
          <w:sz w:val="24"/>
          <w:szCs w:val="24"/>
        </w:rPr>
        <w:t>Bei der Herausgabe von Biomaterialien und Daten ins Nicht-EU-Ausland muss ve</w:t>
      </w:r>
      <w:r w:rsidR="00387304" w:rsidRPr="00DD2968">
        <w:rPr>
          <w:rFonts w:ascii="Times New Roman" w:hAnsi="Times New Roman"/>
          <w:sz w:val="24"/>
          <w:szCs w:val="24"/>
        </w:rPr>
        <w:t>r</w:t>
      </w:r>
      <w:r w:rsidR="00387304" w:rsidRPr="00DD2968">
        <w:rPr>
          <w:rFonts w:ascii="Times New Roman" w:hAnsi="Times New Roman"/>
          <w:sz w:val="24"/>
          <w:szCs w:val="24"/>
        </w:rPr>
        <w:t>traglich ein vergleichbares Datenschutzniveau sichergestellt werden.</w:t>
      </w:r>
      <w:r w:rsidR="008C7B00">
        <w:rPr>
          <w:rFonts w:ascii="Times New Roman" w:hAnsi="Times New Roman"/>
          <w:sz w:val="24"/>
          <w:szCs w:val="24"/>
        </w:rPr>
        <w:t xml:space="preserve"> Ist </w:t>
      </w:r>
      <w:r w:rsidR="008C7B00" w:rsidRPr="00865D71">
        <w:rPr>
          <w:rFonts w:ascii="Times New Roman" w:hAnsi="Times New Roman"/>
          <w:sz w:val="24"/>
          <w:szCs w:val="24"/>
        </w:rPr>
        <w:t>dies nicht gewährlei</w:t>
      </w:r>
      <w:r w:rsidR="008C7B00" w:rsidRPr="00865D71">
        <w:rPr>
          <w:rFonts w:ascii="Times New Roman" w:hAnsi="Times New Roman"/>
          <w:sz w:val="24"/>
          <w:szCs w:val="24"/>
        </w:rPr>
        <w:t>s</w:t>
      </w:r>
      <w:r w:rsidR="008C7B00" w:rsidRPr="00865D71">
        <w:rPr>
          <w:rFonts w:ascii="Times New Roman" w:hAnsi="Times New Roman"/>
          <w:sz w:val="24"/>
          <w:szCs w:val="24"/>
        </w:rPr>
        <w:t xml:space="preserve">tet, so sind Proben und Daten </w:t>
      </w:r>
      <w:r w:rsidR="00FA1770">
        <w:rPr>
          <w:rFonts w:ascii="Times New Roman" w:hAnsi="Times New Roman"/>
          <w:sz w:val="24"/>
          <w:szCs w:val="24"/>
        </w:rPr>
        <w:t xml:space="preserve">vor der Weitergabe </w:t>
      </w:r>
      <w:r w:rsidR="008C7B00" w:rsidRPr="00865D71">
        <w:rPr>
          <w:rFonts w:ascii="Times New Roman" w:hAnsi="Times New Roman"/>
          <w:sz w:val="24"/>
          <w:szCs w:val="24"/>
        </w:rPr>
        <w:t>zu anonymisieren.</w:t>
      </w:r>
    </w:p>
    <w:p w14:paraId="4137B6B5" w14:textId="77777777" w:rsidR="00D65E2D" w:rsidRPr="00B90A22" w:rsidRDefault="003F5011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Soweit möglich</w:t>
      </w:r>
      <w:r w:rsidR="00D65E2D" w:rsidRPr="00B90A22">
        <w:rPr>
          <w:rFonts w:ascii="Times New Roman" w:hAnsi="Times New Roman"/>
          <w:sz w:val="24"/>
          <w:szCs w:val="24"/>
        </w:rPr>
        <w:t xml:space="preserve">, </w:t>
      </w:r>
      <w:r w:rsidR="00514210" w:rsidRPr="00B90A22">
        <w:rPr>
          <w:rFonts w:ascii="Times New Roman" w:hAnsi="Times New Roman"/>
          <w:sz w:val="24"/>
          <w:szCs w:val="24"/>
        </w:rPr>
        <w:t>sollen</w:t>
      </w:r>
      <w:r w:rsidR="00D65E2D" w:rsidRPr="00B90A22">
        <w:rPr>
          <w:rFonts w:ascii="Times New Roman" w:hAnsi="Times New Roman"/>
          <w:sz w:val="24"/>
          <w:szCs w:val="24"/>
        </w:rPr>
        <w:t xml:space="preserve"> weitere Modifikationen des Datensatzes zur Verringerung des </w:t>
      </w:r>
      <w:r w:rsidRPr="00B90A22">
        <w:rPr>
          <w:rFonts w:ascii="Times New Roman" w:hAnsi="Times New Roman"/>
          <w:sz w:val="24"/>
          <w:szCs w:val="24"/>
        </w:rPr>
        <w:t>Ident</w:t>
      </w:r>
      <w:r w:rsidRPr="00B90A22">
        <w:rPr>
          <w:rFonts w:ascii="Times New Roman" w:hAnsi="Times New Roman"/>
          <w:sz w:val="24"/>
          <w:szCs w:val="24"/>
        </w:rPr>
        <w:t>i</w:t>
      </w:r>
      <w:r w:rsidR="00D65E2D" w:rsidRPr="00B90A22">
        <w:rPr>
          <w:rFonts w:ascii="Times New Roman" w:hAnsi="Times New Roman"/>
          <w:sz w:val="24"/>
          <w:szCs w:val="24"/>
        </w:rPr>
        <w:t xml:space="preserve">fikationsrisikos durchgeführt </w:t>
      </w:r>
      <w:r w:rsidR="00514210" w:rsidRPr="00B90A22">
        <w:rPr>
          <w:rFonts w:ascii="Times New Roman" w:hAnsi="Times New Roman"/>
          <w:sz w:val="24"/>
          <w:szCs w:val="24"/>
        </w:rPr>
        <w:t xml:space="preserve">werden </w:t>
      </w:r>
      <w:r w:rsidR="00D65E2D" w:rsidRPr="00B90A22">
        <w:rPr>
          <w:rFonts w:ascii="Times New Roman" w:hAnsi="Times New Roman"/>
          <w:sz w:val="24"/>
          <w:szCs w:val="24"/>
        </w:rPr>
        <w:t>(Ersetzung bestimmter Datumsangaben, Unkenntlic</w:t>
      </w:r>
      <w:r w:rsidR="00D65E2D" w:rsidRPr="00B90A22">
        <w:rPr>
          <w:rFonts w:ascii="Times New Roman" w:hAnsi="Times New Roman"/>
          <w:sz w:val="24"/>
          <w:szCs w:val="24"/>
        </w:rPr>
        <w:t>h</w:t>
      </w:r>
      <w:r w:rsidR="00D65E2D" w:rsidRPr="00B90A22">
        <w:rPr>
          <w:rFonts w:ascii="Times New Roman" w:hAnsi="Times New Roman"/>
          <w:sz w:val="24"/>
          <w:szCs w:val="24"/>
        </w:rPr>
        <w:t>machung von Identifikatoren in Bilddaten o. ä.).</w:t>
      </w:r>
    </w:p>
    <w:p w14:paraId="11691F50" w14:textId="714F0BCC" w:rsidR="00AF0C3F" w:rsidRPr="00B90A22" w:rsidRDefault="00B90A22" w:rsidP="00E52E0E">
      <w:pPr>
        <w:pStyle w:val="berschrift31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c3</w:t>
      </w:r>
      <w:r w:rsidR="00514210" w:rsidRPr="00B90A22">
        <w:rPr>
          <w:rFonts w:ascii="Times New Roman" w:hAnsi="Times New Roman"/>
          <w:sz w:val="24"/>
          <w:szCs w:val="24"/>
        </w:rPr>
        <w:t xml:space="preserve">) </w:t>
      </w:r>
      <w:r w:rsidR="00DE09A0" w:rsidRPr="00B90A22">
        <w:rPr>
          <w:rFonts w:ascii="Times New Roman" w:hAnsi="Times New Roman"/>
          <w:sz w:val="24"/>
          <w:szCs w:val="24"/>
        </w:rPr>
        <w:t xml:space="preserve">Aufhebung der doppelten </w:t>
      </w:r>
      <w:r w:rsidR="00FA1770">
        <w:rPr>
          <w:rFonts w:ascii="Times New Roman" w:hAnsi="Times New Roman"/>
          <w:sz w:val="24"/>
          <w:szCs w:val="24"/>
        </w:rPr>
        <w:t>Pseudonymisierung</w:t>
      </w:r>
    </w:p>
    <w:p w14:paraId="08E30693" w14:textId="391EBB6E" w:rsidR="00AF0C3F" w:rsidRPr="00B90A22" w:rsidRDefault="003873E1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Eine Zuordnung der Daten und Proben zur Person des Spenders darf nur erfolgen, wenn und soweit das für die Sicherheit des Spenders oder für das Forschungsvorhaben (Verlaufsb</w:t>
      </w:r>
      <w:r w:rsidRPr="00B90A22">
        <w:rPr>
          <w:rFonts w:ascii="Times New Roman" w:hAnsi="Times New Roman"/>
          <w:sz w:val="24"/>
          <w:szCs w:val="24"/>
        </w:rPr>
        <w:t>e</w:t>
      </w:r>
      <w:r w:rsidRPr="00B90A22">
        <w:rPr>
          <w:rFonts w:ascii="Times New Roman" w:hAnsi="Times New Roman"/>
          <w:sz w:val="24"/>
          <w:szCs w:val="24"/>
        </w:rPr>
        <w:t>obachtung) erforderlich ist.</w:t>
      </w:r>
      <w:r w:rsidR="00514210" w:rsidRPr="00B90A22">
        <w:rPr>
          <w:rFonts w:ascii="Times New Roman" w:hAnsi="Times New Roman"/>
          <w:sz w:val="24"/>
          <w:szCs w:val="24"/>
        </w:rPr>
        <w:t xml:space="preserve"> </w:t>
      </w:r>
      <w:r w:rsidR="00E77A1B" w:rsidRPr="00B90A22">
        <w:rPr>
          <w:rFonts w:ascii="Times New Roman" w:hAnsi="Times New Roman"/>
          <w:sz w:val="24"/>
          <w:szCs w:val="24"/>
        </w:rPr>
        <w:t xml:space="preserve">Gegenüber den Forschern darf die doppelte </w:t>
      </w:r>
      <w:r w:rsidR="00FA1770">
        <w:rPr>
          <w:rFonts w:ascii="Times New Roman" w:hAnsi="Times New Roman"/>
          <w:sz w:val="24"/>
          <w:szCs w:val="24"/>
        </w:rPr>
        <w:t>Pseudonymisierung</w:t>
      </w:r>
      <w:r w:rsidR="00E77A1B" w:rsidRPr="00B90A22">
        <w:rPr>
          <w:rFonts w:ascii="Times New Roman" w:hAnsi="Times New Roman"/>
          <w:sz w:val="24"/>
          <w:szCs w:val="24"/>
        </w:rPr>
        <w:t xml:space="preserve"> nicht aufgehoben werden</w:t>
      </w:r>
      <w:r w:rsidR="00A31B72" w:rsidRPr="00B90A22">
        <w:rPr>
          <w:rFonts w:ascii="Times New Roman" w:hAnsi="Times New Roman"/>
          <w:sz w:val="24"/>
          <w:szCs w:val="24"/>
        </w:rPr>
        <w:t>.</w:t>
      </w:r>
    </w:p>
    <w:p w14:paraId="087FE5F6" w14:textId="77777777" w:rsidR="00AF0C3F" w:rsidRPr="00B90A22" w:rsidRDefault="00AF0C3F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90A22">
        <w:rPr>
          <w:rFonts w:ascii="Times New Roman" w:hAnsi="Times New Roman"/>
          <w:bCs/>
          <w:sz w:val="24"/>
          <w:szCs w:val="24"/>
        </w:rPr>
        <w:t xml:space="preserve">Die Mitarbeiter </w:t>
      </w:r>
      <w:r w:rsidR="00A31B72" w:rsidRPr="00B90A22">
        <w:rPr>
          <w:rFonts w:ascii="Times New Roman" w:hAnsi="Times New Roman"/>
          <w:bCs/>
          <w:sz w:val="24"/>
          <w:szCs w:val="24"/>
        </w:rPr>
        <w:t xml:space="preserve">der Biobank </w:t>
      </w:r>
      <w:r w:rsidRPr="00B90A22">
        <w:rPr>
          <w:rFonts w:ascii="Times New Roman" w:hAnsi="Times New Roman"/>
          <w:bCs/>
          <w:sz w:val="24"/>
          <w:szCs w:val="24"/>
        </w:rPr>
        <w:t xml:space="preserve">sind ausdrücklich auf </w:t>
      </w:r>
      <w:r w:rsidR="00A31B72" w:rsidRPr="00B90A22">
        <w:rPr>
          <w:rFonts w:ascii="Times New Roman" w:hAnsi="Times New Roman"/>
          <w:bCs/>
          <w:sz w:val="24"/>
          <w:szCs w:val="24"/>
        </w:rPr>
        <w:t>Verschwiegenheit</w:t>
      </w:r>
      <w:r w:rsidRPr="00B90A22">
        <w:rPr>
          <w:rFonts w:ascii="Times New Roman" w:hAnsi="Times New Roman"/>
          <w:bCs/>
          <w:sz w:val="24"/>
          <w:szCs w:val="24"/>
        </w:rPr>
        <w:t xml:space="preserve"> zu verpflichten</w:t>
      </w:r>
      <w:r w:rsidR="00A31B72" w:rsidRPr="00B90A22">
        <w:rPr>
          <w:rFonts w:ascii="Times New Roman" w:hAnsi="Times New Roman"/>
          <w:bCs/>
          <w:sz w:val="24"/>
          <w:szCs w:val="24"/>
        </w:rPr>
        <w:t>, soweit sie nicht ohnehin der ärztlichen Schweigepflicht unterliegen</w:t>
      </w:r>
    </w:p>
    <w:p w14:paraId="2DA5B675" w14:textId="77777777" w:rsidR="00AF0C3F" w:rsidRPr="00B90A22" w:rsidRDefault="00AF0C3F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d) </w:t>
      </w:r>
      <w:r w:rsidR="001351F8" w:rsidRPr="00B90A22">
        <w:rPr>
          <w:rFonts w:ascii="Times New Roman" w:hAnsi="Times New Roman"/>
          <w:sz w:val="24"/>
          <w:szCs w:val="24"/>
        </w:rPr>
        <w:t xml:space="preserve">Aufbewahrungsdauer </w:t>
      </w:r>
      <w:r w:rsidR="002E6F27" w:rsidRPr="00B90A22">
        <w:rPr>
          <w:rFonts w:ascii="Times New Roman" w:hAnsi="Times New Roman"/>
          <w:sz w:val="24"/>
          <w:szCs w:val="24"/>
        </w:rPr>
        <w:t>und Widerrufsrecht</w:t>
      </w:r>
    </w:p>
    <w:p w14:paraId="495560CC" w14:textId="77777777" w:rsidR="00AF0C3F" w:rsidRPr="00B90A22" w:rsidRDefault="00A31B72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Proben und Daten können bei entsprechender Einwilligung </w:t>
      </w:r>
      <w:r w:rsidR="004935ED" w:rsidRPr="00B90A22">
        <w:rPr>
          <w:rFonts w:ascii="Times New Roman" w:hAnsi="Times New Roman"/>
          <w:sz w:val="24"/>
          <w:szCs w:val="24"/>
        </w:rPr>
        <w:t xml:space="preserve">der Spender </w:t>
      </w:r>
      <w:r w:rsidRPr="00B90A22">
        <w:rPr>
          <w:rFonts w:ascii="Times New Roman" w:hAnsi="Times New Roman"/>
          <w:sz w:val="24"/>
          <w:szCs w:val="24"/>
        </w:rPr>
        <w:t>zeitlich begrenzt oder unbegrenzt aufbewahrt und genutzt werden.</w:t>
      </w:r>
    </w:p>
    <w:p w14:paraId="6B6F5816" w14:textId="182FDA9E" w:rsidR="00DF0885" w:rsidRPr="00B90A22" w:rsidRDefault="00AF0C3F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Spender haben zu jeder Zeit das Recht, ihre Teilnahme </w:t>
      </w:r>
      <w:r w:rsidR="004935ED" w:rsidRPr="00B90A22">
        <w:rPr>
          <w:rFonts w:ascii="Times New Roman" w:hAnsi="Times New Roman"/>
          <w:sz w:val="24"/>
          <w:szCs w:val="24"/>
        </w:rPr>
        <w:t xml:space="preserve">mündlich oder schriftlich </w:t>
      </w:r>
      <w:r w:rsidRPr="00B90A22">
        <w:rPr>
          <w:rFonts w:ascii="Times New Roman" w:hAnsi="Times New Roman"/>
          <w:sz w:val="24"/>
          <w:szCs w:val="24"/>
        </w:rPr>
        <w:t>mit oder ohne Angabe von Gründen und ohne nachteilige Folgen zu widerrufen</w:t>
      </w:r>
      <w:r w:rsidR="00DF0885" w:rsidRPr="00B90A22">
        <w:rPr>
          <w:rFonts w:ascii="Times New Roman" w:hAnsi="Times New Roman"/>
          <w:sz w:val="24"/>
          <w:szCs w:val="24"/>
        </w:rPr>
        <w:t xml:space="preserve"> (siehe Mustertext)</w:t>
      </w:r>
      <w:r w:rsidRPr="00B90A22">
        <w:rPr>
          <w:rFonts w:ascii="Times New Roman" w:hAnsi="Times New Roman"/>
          <w:sz w:val="24"/>
          <w:szCs w:val="24"/>
        </w:rPr>
        <w:t xml:space="preserve">. </w:t>
      </w:r>
      <w:r w:rsidR="004935ED" w:rsidRPr="00B90A22">
        <w:rPr>
          <w:rFonts w:ascii="Times New Roman" w:hAnsi="Times New Roman"/>
          <w:sz w:val="24"/>
          <w:szCs w:val="24"/>
        </w:rPr>
        <w:t xml:space="preserve">Der </w:t>
      </w:r>
      <w:r w:rsidR="004935ED" w:rsidRPr="00B90A22">
        <w:rPr>
          <w:rFonts w:ascii="Times New Roman" w:hAnsi="Times New Roman"/>
          <w:sz w:val="24"/>
          <w:szCs w:val="24"/>
        </w:rPr>
        <w:lastRenderedPageBreak/>
        <w:t xml:space="preserve">Widerruf ist </w:t>
      </w:r>
      <w:r w:rsidR="00DF0885" w:rsidRPr="00B90A22">
        <w:rPr>
          <w:rFonts w:ascii="Times New Roman" w:hAnsi="Times New Roman"/>
          <w:sz w:val="24"/>
          <w:szCs w:val="24"/>
        </w:rPr>
        <w:t>von der Stelle, die den Widerruf entgegennimmt,</w:t>
      </w:r>
      <w:r w:rsidR="004935ED" w:rsidRPr="00B90A22">
        <w:rPr>
          <w:rFonts w:ascii="Times New Roman" w:hAnsi="Times New Roman"/>
          <w:sz w:val="24"/>
          <w:szCs w:val="24"/>
        </w:rPr>
        <w:t xml:space="preserve"> zu dokumentieren.</w:t>
      </w:r>
      <w:r w:rsidR="00514210" w:rsidRPr="00B90A22">
        <w:rPr>
          <w:rFonts w:ascii="Times New Roman" w:hAnsi="Times New Roman"/>
          <w:sz w:val="24"/>
          <w:szCs w:val="24"/>
        </w:rPr>
        <w:t xml:space="preserve"> </w:t>
      </w:r>
      <w:r w:rsidR="00DF0885" w:rsidRPr="00B90A22">
        <w:rPr>
          <w:rFonts w:ascii="Times New Roman" w:hAnsi="Times New Roman"/>
          <w:sz w:val="24"/>
          <w:szCs w:val="24"/>
        </w:rPr>
        <w:t xml:space="preserve">Der Spender hat </w:t>
      </w:r>
      <w:r w:rsidR="00514210" w:rsidRPr="00B90A22">
        <w:rPr>
          <w:rFonts w:ascii="Times New Roman" w:hAnsi="Times New Roman"/>
          <w:sz w:val="24"/>
          <w:szCs w:val="24"/>
        </w:rPr>
        <w:t xml:space="preserve">im Falle seines Widerrufs </w:t>
      </w:r>
      <w:r w:rsidR="00DF0885" w:rsidRPr="00B90A22">
        <w:rPr>
          <w:rFonts w:ascii="Times New Roman" w:hAnsi="Times New Roman"/>
          <w:sz w:val="24"/>
          <w:szCs w:val="24"/>
        </w:rPr>
        <w:t>das Recht</w:t>
      </w:r>
      <w:r w:rsidR="00C52B7B">
        <w:rPr>
          <w:rFonts w:ascii="Times New Roman" w:hAnsi="Times New Roman"/>
          <w:sz w:val="24"/>
          <w:szCs w:val="24"/>
        </w:rPr>
        <w:t xml:space="preserve"> auf </w:t>
      </w:r>
      <w:r w:rsidR="00DF0885" w:rsidRPr="00865D71">
        <w:rPr>
          <w:rFonts w:ascii="Times New Roman" w:hAnsi="Times New Roman"/>
          <w:sz w:val="24"/>
          <w:szCs w:val="24"/>
        </w:rPr>
        <w:t>Löschung seiner Daten</w:t>
      </w:r>
      <w:r w:rsidR="00DF0885" w:rsidRPr="00B90A22">
        <w:rPr>
          <w:rFonts w:ascii="Times New Roman" w:hAnsi="Times New Roman"/>
          <w:sz w:val="24"/>
          <w:szCs w:val="24"/>
        </w:rPr>
        <w:t xml:space="preserve"> und die Vernichtung se</w:t>
      </w:r>
      <w:r w:rsidR="00DF0885" w:rsidRPr="00B90A22">
        <w:rPr>
          <w:rFonts w:ascii="Times New Roman" w:hAnsi="Times New Roman"/>
          <w:sz w:val="24"/>
          <w:szCs w:val="24"/>
        </w:rPr>
        <w:t>i</w:t>
      </w:r>
      <w:r w:rsidR="00DF0885" w:rsidRPr="00B90A22">
        <w:rPr>
          <w:rFonts w:ascii="Times New Roman" w:hAnsi="Times New Roman"/>
          <w:sz w:val="24"/>
          <w:szCs w:val="24"/>
        </w:rPr>
        <w:t xml:space="preserve">ner Biomaterialien, </w:t>
      </w:r>
      <w:r w:rsidR="00246C8C">
        <w:rPr>
          <w:rFonts w:ascii="Times New Roman" w:hAnsi="Times New Roman"/>
          <w:sz w:val="24"/>
          <w:szCs w:val="24"/>
        </w:rPr>
        <w:t xml:space="preserve">soweit dies mit zumutbarem Aufwand möglich ist und </w:t>
      </w:r>
      <w:r w:rsidR="00DF0885" w:rsidRPr="00B90A22">
        <w:rPr>
          <w:rFonts w:ascii="Times New Roman" w:hAnsi="Times New Roman"/>
          <w:sz w:val="24"/>
          <w:szCs w:val="24"/>
        </w:rPr>
        <w:t xml:space="preserve"> deren Personenb</w:t>
      </w:r>
      <w:r w:rsidR="00DF0885" w:rsidRPr="00B90A22">
        <w:rPr>
          <w:rFonts w:ascii="Times New Roman" w:hAnsi="Times New Roman"/>
          <w:sz w:val="24"/>
          <w:szCs w:val="24"/>
        </w:rPr>
        <w:t>e</w:t>
      </w:r>
      <w:r w:rsidR="00DF0885" w:rsidRPr="00B90A22">
        <w:rPr>
          <w:rFonts w:ascii="Times New Roman" w:hAnsi="Times New Roman"/>
          <w:sz w:val="24"/>
          <w:szCs w:val="24"/>
        </w:rPr>
        <w:t>zug noch nicht gelöscht wurde.</w:t>
      </w:r>
      <w:r w:rsidR="004E6F05">
        <w:rPr>
          <w:rStyle w:val="Funotenzeichen"/>
          <w:rFonts w:ascii="Times New Roman" w:hAnsi="Times New Roman"/>
          <w:sz w:val="24"/>
          <w:szCs w:val="24"/>
        </w:rPr>
        <w:footnoteReference w:id="5"/>
      </w:r>
      <w:r w:rsidR="00DF0885" w:rsidRPr="00B90A22">
        <w:rPr>
          <w:rFonts w:ascii="Times New Roman" w:hAnsi="Times New Roman"/>
          <w:sz w:val="24"/>
          <w:szCs w:val="24"/>
        </w:rPr>
        <w:t xml:space="preserve"> </w:t>
      </w:r>
      <w:r w:rsidR="00246C8C">
        <w:rPr>
          <w:rFonts w:ascii="Times New Roman" w:hAnsi="Times New Roman"/>
          <w:sz w:val="24"/>
          <w:szCs w:val="24"/>
        </w:rPr>
        <w:t>In jedem Fall</w:t>
      </w:r>
      <w:r w:rsidR="00246C8C" w:rsidRPr="00B90A22">
        <w:rPr>
          <w:rFonts w:ascii="Times New Roman" w:hAnsi="Times New Roman"/>
          <w:sz w:val="24"/>
          <w:szCs w:val="24"/>
        </w:rPr>
        <w:t xml:space="preserve"> </w:t>
      </w:r>
      <w:r w:rsidR="00DF0885" w:rsidRPr="00B90A22">
        <w:rPr>
          <w:rFonts w:ascii="Times New Roman" w:hAnsi="Times New Roman"/>
          <w:sz w:val="24"/>
          <w:szCs w:val="24"/>
        </w:rPr>
        <w:t xml:space="preserve">kann er </w:t>
      </w:r>
      <w:r w:rsidR="00246C8C">
        <w:rPr>
          <w:rFonts w:ascii="Times New Roman" w:hAnsi="Times New Roman"/>
          <w:sz w:val="24"/>
          <w:szCs w:val="24"/>
        </w:rPr>
        <w:t>die vollständige Anonymisierung se</w:t>
      </w:r>
      <w:r w:rsidR="00246C8C">
        <w:rPr>
          <w:rFonts w:ascii="Times New Roman" w:hAnsi="Times New Roman"/>
          <w:sz w:val="24"/>
          <w:szCs w:val="24"/>
        </w:rPr>
        <w:t>i</w:t>
      </w:r>
      <w:r w:rsidR="00246C8C">
        <w:rPr>
          <w:rFonts w:ascii="Times New Roman" w:hAnsi="Times New Roman"/>
          <w:sz w:val="24"/>
          <w:szCs w:val="24"/>
        </w:rPr>
        <w:t xml:space="preserve">ner </w:t>
      </w:r>
      <w:r w:rsidR="00865D71">
        <w:rPr>
          <w:rFonts w:ascii="Times New Roman" w:hAnsi="Times New Roman"/>
          <w:sz w:val="24"/>
          <w:szCs w:val="24"/>
        </w:rPr>
        <w:t xml:space="preserve">Proben und </w:t>
      </w:r>
      <w:r w:rsidR="00246C8C">
        <w:rPr>
          <w:rFonts w:ascii="Times New Roman" w:hAnsi="Times New Roman"/>
          <w:sz w:val="24"/>
          <w:szCs w:val="24"/>
        </w:rPr>
        <w:t>Daten verlangen</w:t>
      </w:r>
      <w:r w:rsidR="00DF0885" w:rsidRPr="00B90A22">
        <w:rPr>
          <w:rFonts w:ascii="Times New Roman" w:hAnsi="Times New Roman"/>
          <w:sz w:val="24"/>
          <w:szCs w:val="24"/>
        </w:rPr>
        <w:t>. Daten aus bereits durchgeführten Analysen müssen nicht entfernt werden.</w:t>
      </w:r>
    </w:p>
    <w:p w14:paraId="29932600" w14:textId="77777777" w:rsidR="00AF0C3F" w:rsidRPr="00B90A22" w:rsidRDefault="00AF0C3F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e) Nutzung und Herausgabe von Materialien und Daten für Forschungsvorhaben</w:t>
      </w:r>
      <w:r w:rsidR="002E6F27" w:rsidRPr="00B90A22">
        <w:rPr>
          <w:rFonts w:ascii="Times New Roman" w:hAnsi="Times New Roman"/>
          <w:sz w:val="24"/>
          <w:szCs w:val="24"/>
        </w:rPr>
        <w:t xml:space="preserve"> </w:t>
      </w:r>
    </w:p>
    <w:p w14:paraId="0D2597F5" w14:textId="77777777" w:rsidR="00AF0C3F" w:rsidRPr="00B90A22" w:rsidRDefault="003C68E1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Es muss gewährleistet sein, dass ein Missbrauch von Proben und Daten vermieden wird und es für die wissenschaftliche Nutzung einen geregelten Zugang zu den </w:t>
      </w:r>
      <w:r w:rsidR="003D6E48" w:rsidRPr="00B90A22">
        <w:rPr>
          <w:rFonts w:ascii="Times New Roman" w:hAnsi="Times New Roman"/>
          <w:sz w:val="24"/>
          <w:szCs w:val="24"/>
        </w:rPr>
        <w:t>Proben</w:t>
      </w:r>
      <w:r w:rsidRPr="00B90A22">
        <w:rPr>
          <w:rFonts w:ascii="Times New Roman" w:hAnsi="Times New Roman"/>
          <w:sz w:val="24"/>
          <w:szCs w:val="24"/>
        </w:rPr>
        <w:t xml:space="preserve"> bzw. Daten gibt.</w:t>
      </w:r>
    </w:p>
    <w:p w14:paraId="76435031" w14:textId="77777777" w:rsidR="00AF0C3F" w:rsidRPr="00B90A22" w:rsidRDefault="00B90A22" w:rsidP="00E52E0E">
      <w:pPr>
        <w:pStyle w:val="berschrift31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e1</w:t>
      </w:r>
      <w:r w:rsidR="00514210" w:rsidRPr="00B90A22">
        <w:rPr>
          <w:rFonts w:ascii="Times New Roman" w:hAnsi="Times New Roman"/>
          <w:sz w:val="24"/>
          <w:szCs w:val="24"/>
        </w:rPr>
        <w:t xml:space="preserve">) </w:t>
      </w:r>
      <w:r w:rsidR="002E6F27" w:rsidRPr="00B90A22">
        <w:rPr>
          <w:rFonts w:ascii="Times New Roman" w:hAnsi="Times New Roman"/>
          <w:sz w:val="24"/>
          <w:szCs w:val="24"/>
        </w:rPr>
        <w:t>Antragstellung</w:t>
      </w:r>
    </w:p>
    <w:p w14:paraId="0F685EDD" w14:textId="3C48487B" w:rsidR="00AF0C3F" w:rsidRPr="00B90A22" w:rsidRDefault="0090688C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Verfahrensregeln der Biobank sollen vorsehen, dass </w:t>
      </w:r>
      <w:r w:rsidR="004A5EF1" w:rsidRPr="00B90A22">
        <w:rPr>
          <w:rFonts w:ascii="Times New Roman" w:hAnsi="Times New Roman"/>
          <w:sz w:val="24"/>
          <w:szCs w:val="24"/>
        </w:rPr>
        <w:t>vor</w:t>
      </w:r>
      <w:r w:rsidR="00AF0C3F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 xml:space="preserve">Herausgabe bzw. Verwendung </w:t>
      </w:r>
      <w:r w:rsidR="00AF0C3F" w:rsidRPr="00B90A22">
        <w:rPr>
          <w:rFonts w:ascii="Times New Roman" w:hAnsi="Times New Roman"/>
          <w:sz w:val="24"/>
          <w:szCs w:val="24"/>
        </w:rPr>
        <w:t xml:space="preserve">von Daten und/oder Probenmaterial die Bewertung der </w:t>
      </w:r>
      <w:r w:rsidR="00357FBA" w:rsidRPr="00B90A22">
        <w:rPr>
          <w:rFonts w:ascii="Times New Roman" w:hAnsi="Times New Roman"/>
          <w:sz w:val="24"/>
          <w:szCs w:val="24"/>
        </w:rPr>
        <w:t xml:space="preserve">für </w:t>
      </w:r>
      <w:r w:rsidR="00502603">
        <w:rPr>
          <w:rFonts w:ascii="Times New Roman" w:hAnsi="Times New Roman"/>
          <w:sz w:val="24"/>
          <w:szCs w:val="24"/>
        </w:rPr>
        <w:t xml:space="preserve">den Forscher bzw. </w:t>
      </w:r>
      <w:r w:rsidR="00357FBA" w:rsidRPr="00B90A22">
        <w:rPr>
          <w:rFonts w:ascii="Times New Roman" w:hAnsi="Times New Roman"/>
          <w:sz w:val="24"/>
          <w:szCs w:val="24"/>
        </w:rPr>
        <w:t>das Fo</w:t>
      </w:r>
      <w:r w:rsidR="00357FBA" w:rsidRPr="00B90A22">
        <w:rPr>
          <w:rFonts w:ascii="Times New Roman" w:hAnsi="Times New Roman"/>
          <w:sz w:val="24"/>
          <w:szCs w:val="24"/>
        </w:rPr>
        <w:t>r</w:t>
      </w:r>
      <w:r w:rsidR="00357FBA" w:rsidRPr="00B90A22">
        <w:rPr>
          <w:rFonts w:ascii="Times New Roman" w:hAnsi="Times New Roman"/>
          <w:sz w:val="24"/>
          <w:szCs w:val="24"/>
        </w:rPr>
        <w:t xml:space="preserve">schungsvorhaben </w:t>
      </w:r>
      <w:r w:rsidR="00AF0C3F" w:rsidRPr="00B90A22">
        <w:rPr>
          <w:rFonts w:ascii="Times New Roman" w:hAnsi="Times New Roman"/>
          <w:sz w:val="24"/>
          <w:szCs w:val="24"/>
        </w:rPr>
        <w:t>zuständigen Ethik</w:t>
      </w:r>
      <w:r w:rsidR="003D6E48" w:rsidRPr="00B90A22">
        <w:rPr>
          <w:rFonts w:ascii="Times New Roman" w:hAnsi="Times New Roman"/>
          <w:sz w:val="24"/>
          <w:szCs w:val="24"/>
        </w:rPr>
        <w:t>-K</w:t>
      </w:r>
      <w:r w:rsidR="00AF0C3F" w:rsidRPr="00B90A22">
        <w:rPr>
          <w:rFonts w:ascii="Times New Roman" w:hAnsi="Times New Roman"/>
          <w:sz w:val="24"/>
          <w:szCs w:val="24"/>
        </w:rPr>
        <w:t>ommission</w:t>
      </w:r>
      <w:r w:rsidR="002E6F27" w:rsidRPr="00B90A22">
        <w:rPr>
          <w:rFonts w:ascii="Times New Roman" w:hAnsi="Times New Roman"/>
          <w:sz w:val="24"/>
          <w:szCs w:val="24"/>
        </w:rPr>
        <w:t xml:space="preserve"> oder ggf. eine Erläuterung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4A5EF1" w:rsidRPr="00B90A22">
        <w:rPr>
          <w:rFonts w:ascii="Times New Roman" w:hAnsi="Times New Roman"/>
          <w:sz w:val="24"/>
          <w:szCs w:val="24"/>
        </w:rPr>
        <w:t>vorgelegt wird</w:t>
      </w:r>
      <w:r w:rsidR="002E6F27" w:rsidRPr="00B90A22">
        <w:rPr>
          <w:rFonts w:ascii="Times New Roman" w:hAnsi="Times New Roman"/>
          <w:sz w:val="24"/>
          <w:szCs w:val="24"/>
        </w:rPr>
        <w:t>, warum das Forschungsvorhaben nicht beratungspflichtig ist</w:t>
      </w:r>
      <w:r w:rsidR="00AF0C3F" w:rsidRPr="00B90A22">
        <w:rPr>
          <w:rFonts w:ascii="Times New Roman" w:hAnsi="Times New Roman"/>
          <w:sz w:val="24"/>
          <w:szCs w:val="24"/>
        </w:rPr>
        <w:t>.</w:t>
      </w:r>
    </w:p>
    <w:p w14:paraId="320C0FE4" w14:textId="77777777" w:rsidR="00D65E2D" w:rsidRPr="00B90A22" w:rsidRDefault="00D65E2D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Biobank entscheidet, ob und in welchem Umfang einem Nutzungsantrag stattgegeben wird. </w:t>
      </w:r>
      <w:r w:rsidR="00357FBA" w:rsidRPr="00B90A22">
        <w:rPr>
          <w:rFonts w:ascii="Times New Roman" w:hAnsi="Times New Roman"/>
          <w:sz w:val="24"/>
          <w:szCs w:val="24"/>
        </w:rPr>
        <w:t xml:space="preserve">Die allgemeinen Vergabekriterien sollen in </w:t>
      </w:r>
      <w:r w:rsidR="00E52BFB" w:rsidRPr="00B90A22">
        <w:rPr>
          <w:rFonts w:ascii="Times New Roman" w:hAnsi="Times New Roman"/>
          <w:sz w:val="24"/>
          <w:szCs w:val="24"/>
        </w:rPr>
        <w:t>den Verfahrensregeln der Biobank</w:t>
      </w:r>
      <w:r w:rsidR="00357FBA" w:rsidRPr="00B90A22">
        <w:rPr>
          <w:rFonts w:ascii="Times New Roman" w:hAnsi="Times New Roman"/>
          <w:sz w:val="24"/>
          <w:szCs w:val="24"/>
        </w:rPr>
        <w:t xml:space="preserve"> festgelegt werden, die der </w:t>
      </w:r>
      <w:r w:rsidR="0091199E" w:rsidRPr="00B90A22">
        <w:rPr>
          <w:rFonts w:ascii="Times New Roman" w:hAnsi="Times New Roman"/>
          <w:sz w:val="24"/>
          <w:szCs w:val="24"/>
        </w:rPr>
        <w:t>für die Biobank zuständigen Ethik-Kommission vorzulegen</w:t>
      </w:r>
      <w:r w:rsidR="00357FBA" w:rsidRPr="00B90A22">
        <w:rPr>
          <w:rFonts w:ascii="Times New Roman" w:hAnsi="Times New Roman"/>
          <w:sz w:val="24"/>
          <w:szCs w:val="24"/>
        </w:rPr>
        <w:t xml:space="preserve"> </w:t>
      </w:r>
      <w:r w:rsidR="00E52BFB" w:rsidRPr="00B90A22">
        <w:rPr>
          <w:rFonts w:ascii="Times New Roman" w:hAnsi="Times New Roman"/>
          <w:sz w:val="24"/>
          <w:szCs w:val="24"/>
        </w:rPr>
        <w:t>sind</w:t>
      </w:r>
      <w:r w:rsidR="0091199E" w:rsidRPr="00B90A22">
        <w:rPr>
          <w:rFonts w:ascii="Times New Roman" w:hAnsi="Times New Roman"/>
          <w:sz w:val="24"/>
          <w:szCs w:val="24"/>
        </w:rPr>
        <w:t>.</w:t>
      </w:r>
      <w:r w:rsidRPr="00B90A22">
        <w:rPr>
          <w:rFonts w:ascii="Times New Roman" w:hAnsi="Times New Roman"/>
          <w:sz w:val="24"/>
          <w:szCs w:val="24"/>
        </w:rPr>
        <w:t xml:space="preserve"> </w:t>
      </w:r>
    </w:p>
    <w:p w14:paraId="13CA5BDF" w14:textId="77777777" w:rsidR="00D65E2D" w:rsidRPr="00B90A22" w:rsidRDefault="002E6F27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Proben </w:t>
      </w:r>
      <w:r w:rsidR="00E52BFB" w:rsidRPr="00B90A22">
        <w:rPr>
          <w:rFonts w:ascii="Times New Roman" w:hAnsi="Times New Roman"/>
          <w:sz w:val="24"/>
          <w:szCs w:val="24"/>
        </w:rPr>
        <w:t xml:space="preserve">und </w:t>
      </w:r>
      <w:r w:rsidRPr="00B90A22">
        <w:rPr>
          <w:rFonts w:ascii="Times New Roman" w:hAnsi="Times New Roman"/>
          <w:sz w:val="24"/>
          <w:szCs w:val="24"/>
        </w:rPr>
        <w:t xml:space="preserve">Daten </w:t>
      </w:r>
      <w:r w:rsidR="00E52BFB" w:rsidRPr="00B90A22">
        <w:rPr>
          <w:rFonts w:ascii="Times New Roman" w:hAnsi="Times New Roman"/>
          <w:sz w:val="24"/>
          <w:szCs w:val="24"/>
        </w:rPr>
        <w:t xml:space="preserve">dürfen nur </w:t>
      </w:r>
      <w:r w:rsidRPr="00B90A22">
        <w:rPr>
          <w:rFonts w:ascii="Times New Roman" w:hAnsi="Times New Roman"/>
          <w:sz w:val="24"/>
          <w:szCs w:val="24"/>
        </w:rPr>
        <w:t xml:space="preserve">herausgegeben </w:t>
      </w:r>
      <w:r w:rsidR="00357FBA" w:rsidRPr="00B90A22">
        <w:rPr>
          <w:rFonts w:ascii="Times New Roman" w:hAnsi="Times New Roman"/>
          <w:sz w:val="24"/>
          <w:szCs w:val="24"/>
        </w:rPr>
        <w:t xml:space="preserve">bzw. verwendet </w:t>
      </w:r>
      <w:r w:rsidRPr="00B90A22">
        <w:rPr>
          <w:rFonts w:ascii="Times New Roman" w:hAnsi="Times New Roman"/>
          <w:sz w:val="24"/>
          <w:szCs w:val="24"/>
        </w:rPr>
        <w:t>werden</w:t>
      </w:r>
      <w:r w:rsidR="00D65E2D" w:rsidRPr="00B90A22">
        <w:rPr>
          <w:rFonts w:ascii="Times New Roman" w:hAnsi="Times New Roman"/>
          <w:sz w:val="24"/>
          <w:szCs w:val="24"/>
        </w:rPr>
        <w:t xml:space="preserve">, </w:t>
      </w:r>
      <w:r w:rsidR="00E52BFB" w:rsidRPr="00B90A22">
        <w:rPr>
          <w:rFonts w:ascii="Times New Roman" w:hAnsi="Times New Roman"/>
          <w:sz w:val="24"/>
          <w:szCs w:val="24"/>
        </w:rPr>
        <w:t xml:space="preserve">wenn von der Biobank sichergestellt </w:t>
      </w:r>
      <w:r w:rsidR="00514210" w:rsidRPr="00B90A22">
        <w:rPr>
          <w:rFonts w:ascii="Times New Roman" w:hAnsi="Times New Roman"/>
          <w:sz w:val="24"/>
          <w:szCs w:val="24"/>
        </w:rPr>
        <w:t>ist</w:t>
      </w:r>
      <w:r w:rsidR="00D65E2D" w:rsidRPr="00B90A22">
        <w:rPr>
          <w:rFonts w:ascii="Times New Roman" w:hAnsi="Times New Roman"/>
          <w:sz w:val="24"/>
          <w:szCs w:val="24"/>
        </w:rPr>
        <w:t xml:space="preserve">, </w:t>
      </w:r>
      <w:r w:rsidR="00E52BFB" w:rsidRPr="00B90A22">
        <w:rPr>
          <w:rFonts w:ascii="Times New Roman" w:hAnsi="Times New Roman"/>
          <w:sz w:val="24"/>
          <w:szCs w:val="24"/>
        </w:rPr>
        <w:t xml:space="preserve">dass </w:t>
      </w:r>
      <w:r w:rsidR="00D65E2D" w:rsidRPr="00B90A22">
        <w:rPr>
          <w:rFonts w:ascii="Times New Roman" w:hAnsi="Times New Roman"/>
          <w:sz w:val="24"/>
          <w:szCs w:val="24"/>
        </w:rPr>
        <w:t xml:space="preserve">die </w:t>
      </w:r>
      <w:r w:rsidRPr="00B90A22">
        <w:rPr>
          <w:rFonts w:ascii="Times New Roman" w:hAnsi="Times New Roman"/>
          <w:sz w:val="24"/>
          <w:szCs w:val="24"/>
        </w:rPr>
        <w:t xml:space="preserve">Einwilligungserklärung </w:t>
      </w:r>
      <w:r w:rsidR="00A248D2" w:rsidRPr="00B90A22">
        <w:rPr>
          <w:rFonts w:ascii="Times New Roman" w:hAnsi="Times New Roman"/>
          <w:sz w:val="24"/>
          <w:szCs w:val="24"/>
        </w:rPr>
        <w:t>der jeweiligen</w:t>
      </w:r>
      <w:r w:rsidR="00E52BFB" w:rsidRPr="00B90A22">
        <w:rPr>
          <w:rFonts w:ascii="Times New Roman" w:hAnsi="Times New Roman"/>
          <w:sz w:val="24"/>
          <w:szCs w:val="24"/>
        </w:rPr>
        <w:t xml:space="preserve"> Spender dies </w:t>
      </w:r>
      <w:r w:rsidR="00D65E2D" w:rsidRPr="00B90A22">
        <w:rPr>
          <w:rFonts w:ascii="Times New Roman" w:hAnsi="Times New Roman"/>
          <w:sz w:val="24"/>
          <w:szCs w:val="24"/>
        </w:rPr>
        <w:t>zulässt.</w:t>
      </w:r>
    </w:p>
    <w:p w14:paraId="55333CC6" w14:textId="77777777" w:rsidR="00E97F57" w:rsidRPr="00B90A22" w:rsidRDefault="00B90A22" w:rsidP="00E52E0E">
      <w:pPr>
        <w:pStyle w:val="berschrift31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e2</w:t>
      </w:r>
      <w:r w:rsidR="00AC6A4A" w:rsidRPr="00B90A22">
        <w:rPr>
          <w:rFonts w:ascii="Times New Roman" w:hAnsi="Times New Roman"/>
          <w:sz w:val="24"/>
          <w:szCs w:val="24"/>
        </w:rPr>
        <w:t xml:space="preserve">) </w:t>
      </w:r>
      <w:r w:rsidR="00E97F57" w:rsidRPr="00B90A22">
        <w:rPr>
          <w:rFonts w:ascii="Times New Roman" w:hAnsi="Times New Roman"/>
          <w:sz w:val="24"/>
          <w:szCs w:val="24"/>
        </w:rPr>
        <w:t>Eingeräumte Nutzungsrechte</w:t>
      </w:r>
    </w:p>
    <w:p w14:paraId="29AF4BB4" w14:textId="77777777" w:rsidR="00E97F57" w:rsidRPr="00B90A22" w:rsidRDefault="00E97F57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Mit der Herausgabe sollen dem Antragsteller </w:t>
      </w:r>
      <w:r w:rsidR="000B505B" w:rsidRPr="00B90A22">
        <w:rPr>
          <w:rFonts w:ascii="Times New Roman" w:hAnsi="Times New Roman"/>
          <w:sz w:val="24"/>
          <w:szCs w:val="24"/>
        </w:rPr>
        <w:t>grundsätzlich</w:t>
      </w:r>
      <w:r w:rsidRPr="00B90A22">
        <w:rPr>
          <w:rFonts w:ascii="Times New Roman" w:hAnsi="Times New Roman"/>
          <w:sz w:val="24"/>
          <w:szCs w:val="24"/>
        </w:rPr>
        <w:t xml:space="preserve"> nur befristet</w:t>
      </w:r>
      <w:r w:rsidR="00A248D2" w:rsidRPr="00B90A22">
        <w:rPr>
          <w:rFonts w:ascii="Times New Roman" w:hAnsi="Times New Roman"/>
          <w:sz w:val="24"/>
          <w:szCs w:val="24"/>
        </w:rPr>
        <w:t>e</w:t>
      </w:r>
      <w:r w:rsidRPr="00B90A22">
        <w:rPr>
          <w:rFonts w:ascii="Times New Roman" w:hAnsi="Times New Roman"/>
          <w:sz w:val="24"/>
          <w:szCs w:val="24"/>
        </w:rPr>
        <w:t>, zweckbezogen</w:t>
      </w:r>
      <w:r w:rsidR="00A248D2" w:rsidRPr="00B90A22">
        <w:rPr>
          <w:rFonts w:ascii="Times New Roman" w:hAnsi="Times New Roman"/>
          <w:sz w:val="24"/>
          <w:szCs w:val="24"/>
        </w:rPr>
        <w:t>e</w:t>
      </w:r>
      <w:r w:rsidRPr="00B90A22">
        <w:rPr>
          <w:rFonts w:ascii="Times New Roman" w:hAnsi="Times New Roman"/>
          <w:sz w:val="24"/>
          <w:szCs w:val="24"/>
        </w:rPr>
        <w:t xml:space="preserve"> und nicht übertragbare Nutzungsrechte eingeräumt</w:t>
      </w:r>
      <w:r w:rsidR="00AC6A4A" w:rsidRPr="00B90A22">
        <w:rPr>
          <w:rFonts w:ascii="Times New Roman" w:hAnsi="Times New Roman"/>
          <w:sz w:val="24"/>
          <w:szCs w:val="24"/>
        </w:rPr>
        <w:t xml:space="preserve"> werden</w:t>
      </w:r>
      <w:r w:rsidRPr="00B90A22">
        <w:rPr>
          <w:rFonts w:ascii="Times New Roman" w:hAnsi="Times New Roman"/>
          <w:sz w:val="24"/>
          <w:szCs w:val="24"/>
        </w:rPr>
        <w:t>.</w:t>
      </w:r>
    </w:p>
    <w:p w14:paraId="44F7EEB7" w14:textId="77777777" w:rsidR="00533067" w:rsidRPr="00B90A22" w:rsidRDefault="00E97F57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Kopie und Weitergabe von Daten und/oder Probenmaterial an Dritte ist </w:t>
      </w:r>
      <w:r w:rsidR="00533067" w:rsidRPr="00B90A22">
        <w:rPr>
          <w:rFonts w:ascii="Times New Roman" w:hAnsi="Times New Roman"/>
          <w:sz w:val="24"/>
          <w:szCs w:val="24"/>
        </w:rPr>
        <w:t>nur zulässig, s</w:t>
      </w:r>
      <w:r w:rsidR="00533067" w:rsidRPr="00B90A22">
        <w:rPr>
          <w:rFonts w:ascii="Times New Roman" w:hAnsi="Times New Roman"/>
          <w:sz w:val="24"/>
          <w:szCs w:val="24"/>
        </w:rPr>
        <w:t>o</w:t>
      </w:r>
      <w:r w:rsidR="00533067" w:rsidRPr="00B90A22">
        <w:rPr>
          <w:rFonts w:ascii="Times New Roman" w:hAnsi="Times New Roman"/>
          <w:sz w:val="24"/>
          <w:szCs w:val="24"/>
        </w:rPr>
        <w:t>weit sie für die Durchführung des beantragten Forschungsprojektes erforderlich ist und die Biobank ihr zustimmt.</w:t>
      </w:r>
    </w:p>
    <w:p w14:paraId="768DB067" w14:textId="77777777" w:rsidR="00E97F57" w:rsidRPr="00B90A22" w:rsidRDefault="000B505B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D</w:t>
      </w:r>
      <w:r w:rsidR="00E97F57" w:rsidRPr="00B90A22">
        <w:rPr>
          <w:rFonts w:ascii="Times New Roman" w:hAnsi="Times New Roman"/>
          <w:sz w:val="24"/>
          <w:szCs w:val="24"/>
        </w:rPr>
        <w:t>ie Pflichten des Nutzers, insbesondere zur Wahrung der Rechte de</w:t>
      </w:r>
      <w:r w:rsidR="00190286" w:rsidRPr="00B90A22">
        <w:rPr>
          <w:rFonts w:ascii="Times New Roman" w:hAnsi="Times New Roman"/>
          <w:sz w:val="24"/>
          <w:szCs w:val="24"/>
        </w:rPr>
        <w:t>r</w:t>
      </w:r>
      <w:r w:rsidR="00E97F57" w:rsidRPr="00B90A22">
        <w:rPr>
          <w:rFonts w:ascii="Times New Roman" w:hAnsi="Times New Roman"/>
          <w:sz w:val="24"/>
          <w:szCs w:val="24"/>
        </w:rPr>
        <w:t xml:space="preserve"> Spender, sind in einer schriftlichen Vereinbarung (Nutzungsvertrag) zu fixieren.</w:t>
      </w:r>
      <w:r w:rsidR="00502603">
        <w:rPr>
          <w:rFonts w:ascii="Times New Roman" w:hAnsi="Times New Roman"/>
          <w:sz w:val="24"/>
          <w:szCs w:val="24"/>
        </w:rPr>
        <w:t xml:space="preserve"> </w:t>
      </w:r>
      <w:r w:rsidR="002C5845">
        <w:rPr>
          <w:rFonts w:ascii="Times New Roman" w:hAnsi="Times New Roman"/>
          <w:sz w:val="24"/>
          <w:szCs w:val="24"/>
        </w:rPr>
        <w:t>Dies betrifft auch die Veröffentl</w:t>
      </w:r>
      <w:r w:rsidR="002C5845">
        <w:rPr>
          <w:rFonts w:ascii="Times New Roman" w:hAnsi="Times New Roman"/>
          <w:sz w:val="24"/>
          <w:szCs w:val="24"/>
        </w:rPr>
        <w:t>i</w:t>
      </w:r>
      <w:r w:rsidR="002C5845">
        <w:rPr>
          <w:rFonts w:ascii="Times New Roman" w:hAnsi="Times New Roman"/>
          <w:sz w:val="24"/>
          <w:szCs w:val="24"/>
        </w:rPr>
        <w:t>chung von Forschungsergebnissen, insbesondere individueller genetischer Informationen. Darüber hinaus ist</w:t>
      </w:r>
      <w:r w:rsidR="00502603">
        <w:rPr>
          <w:rFonts w:ascii="Times New Roman" w:hAnsi="Times New Roman"/>
          <w:sz w:val="24"/>
          <w:szCs w:val="24"/>
        </w:rPr>
        <w:t xml:space="preserve"> sicher</w:t>
      </w:r>
      <w:r w:rsidR="002C5845">
        <w:rPr>
          <w:rFonts w:ascii="Times New Roman" w:hAnsi="Times New Roman"/>
          <w:sz w:val="24"/>
          <w:szCs w:val="24"/>
        </w:rPr>
        <w:t>zu</w:t>
      </w:r>
      <w:r w:rsidR="00502603">
        <w:rPr>
          <w:rFonts w:ascii="Times New Roman" w:hAnsi="Times New Roman"/>
          <w:sz w:val="24"/>
          <w:szCs w:val="24"/>
        </w:rPr>
        <w:t xml:space="preserve">stellen, dass </w:t>
      </w:r>
      <w:r w:rsidR="002C5845">
        <w:rPr>
          <w:rFonts w:ascii="Times New Roman" w:hAnsi="Times New Roman"/>
          <w:sz w:val="24"/>
          <w:szCs w:val="24"/>
        </w:rPr>
        <w:t xml:space="preserve">im Falle eines Widerrufs des Spenders </w:t>
      </w:r>
      <w:r w:rsidR="00502603">
        <w:rPr>
          <w:rFonts w:ascii="Times New Roman" w:hAnsi="Times New Roman"/>
          <w:sz w:val="24"/>
          <w:szCs w:val="24"/>
        </w:rPr>
        <w:t>nicht-anonymisierte Proben vernichtet werden, sofern der Spender ihre Vernichtung verlangt.</w:t>
      </w:r>
      <w:r w:rsidR="002C5845">
        <w:rPr>
          <w:rFonts w:ascii="Times New Roman" w:hAnsi="Times New Roman"/>
          <w:sz w:val="24"/>
          <w:szCs w:val="24"/>
        </w:rPr>
        <w:t xml:space="preserve"> </w:t>
      </w:r>
    </w:p>
    <w:p w14:paraId="34B55C06" w14:textId="77777777" w:rsidR="00E97F57" w:rsidRPr="00B90A22" w:rsidRDefault="00E97F57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Nicht verbrauchtes Proben- bzw. Restmaterial </w:t>
      </w:r>
      <w:r w:rsidR="00190286" w:rsidRPr="00B90A22">
        <w:rPr>
          <w:rFonts w:ascii="Times New Roman" w:hAnsi="Times New Roman"/>
          <w:sz w:val="24"/>
          <w:szCs w:val="24"/>
        </w:rPr>
        <w:t>ist</w:t>
      </w:r>
      <w:r w:rsidRPr="00B90A22">
        <w:rPr>
          <w:rFonts w:ascii="Times New Roman" w:hAnsi="Times New Roman"/>
          <w:sz w:val="24"/>
          <w:szCs w:val="24"/>
        </w:rPr>
        <w:t xml:space="preserve"> an die jeweilige Biobank zurück</w:t>
      </w:r>
      <w:r w:rsidR="00190286" w:rsidRPr="00B90A22">
        <w:rPr>
          <w:rFonts w:ascii="Times New Roman" w:hAnsi="Times New Roman"/>
          <w:sz w:val="24"/>
          <w:szCs w:val="24"/>
        </w:rPr>
        <w:t>zu</w:t>
      </w:r>
      <w:r w:rsidRPr="00B90A22">
        <w:rPr>
          <w:rFonts w:ascii="Times New Roman" w:hAnsi="Times New Roman"/>
          <w:sz w:val="24"/>
          <w:szCs w:val="24"/>
        </w:rPr>
        <w:t xml:space="preserve">geben oder </w:t>
      </w:r>
      <w:r w:rsidR="00190286" w:rsidRPr="00B90A22">
        <w:rPr>
          <w:rFonts w:ascii="Times New Roman" w:hAnsi="Times New Roman"/>
          <w:sz w:val="24"/>
          <w:szCs w:val="24"/>
        </w:rPr>
        <w:t>im Einvernehmen mit der Biobank</w:t>
      </w:r>
      <w:r w:rsidRPr="00B90A22">
        <w:rPr>
          <w:rFonts w:ascii="Times New Roman" w:hAnsi="Times New Roman"/>
          <w:sz w:val="24"/>
          <w:szCs w:val="24"/>
        </w:rPr>
        <w:t xml:space="preserve"> </w:t>
      </w:r>
      <w:r w:rsidR="00190286" w:rsidRPr="00B90A22">
        <w:rPr>
          <w:rFonts w:ascii="Times New Roman" w:hAnsi="Times New Roman"/>
          <w:sz w:val="24"/>
          <w:szCs w:val="24"/>
        </w:rPr>
        <w:t>zu</w:t>
      </w:r>
      <w:r w:rsidR="000B505B" w:rsidRPr="00B90A22">
        <w:rPr>
          <w:rFonts w:ascii="Times New Roman" w:hAnsi="Times New Roman"/>
          <w:sz w:val="24"/>
          <w:szCs w:val="24"/>
        </w:rPr>
        <w:t xml:space="preserve"> </w:t>
      </w:r>
      <w:r w:rsidRPr="00B90A22">
        <w:rPr>
          <w:rFonts w:ascii="Times New Roman" w:hAnsi="Times New Roman"/>
          <w:sz w:val="24"/>
          <w:szCs w:val="24"/>
        </w:rPr>
        <w:t>vernichte</w:t>
      </w:r>
      <w:r w:rsidR="00190286" w:rsidRPr="00B90A22">
        <w:rPr>
          <w:rFonts w:ascii="Times New Roman" w:hAnsi="Times New Roman"/>
          <w:sz w:val="24"/>
          <w:szCs w:val="24"/>
        </w:rPr>
        <w:t>n</w:t>
      </w:r>
      <w:r w:rsidRPr="00B90A22">
        <w:rPr>
          <w:rFonts w:ascii="Times New Roman" w:hAnsi="Times New Roman"/>
          <w:sz w:val="24"/>
          <w:szCs w:val="24"/>
        </w:rPr>
        <w:t>.</w:t>
      </w:r>
    </w:p>
    <w:p w14:paraId="2C982EB8" w14:textId="77777777" w:rsidR="00E97F57" w:rsidRPr="00B90A22" w:rsidRDefault="00E97F57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f) Erneute Kontaktaufnahmen</w:t>
      </w:r>
    </w:p>
    <w:p w14:paraId="654508D5" w14:textId="77777777" w:rsidR="006D54C9" w:rsidRPr="00B90A22" w:rsidRDefault="006D54C9" w:rsidP="006D54C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Die Verfahrensregeln der Biobank sollen festlegen, ob</w:t>
      </w:r>
      <w:r w:rsidR="002C5845">
        <w:rPr>
          <w:rFonts w:ascii="Times New Roman" w:hAnsi="Times New Roman"/>
          <w:sz w:val="24"/>
          <w:szCs w:val="24"/>
        </w:rPr>
        <w:t>,</w:t>
      </w:r>
      <w:r w:rsidRPr="00B90A22">
        <w:rPr>
          <w:rFonts w:ascii="Times New Roman" w:hAnsi="Times New Roman"/>
          <w:sz w:val="24"/>
          <w:szCs w:val="24"/>
        </w:rPr>
        <w:t xml:space="preserve"> unter welchen Voraussetzungen</w:t>
      </w:r>
      <w:r w:rsidR="002C5845">
        <w:rPr>
          <w:rFonts w:ascii="Times New Roman" w:hAnsi="Times New Roman"/>
          <w:sz w:val="24"/>
          <w:szCs w:val="24"/>
        </w:rPr>
        <w:t xml:space="preserve"> und durch wen</w:t>
      </w:r>
      <w:r w:rsidRPr="00B90A22">
        <w:rPr>
          <w:rFonts w:ascii="Times New Roman" w:hAnsi="Times New Roman"/>
          <w:sz w:val="24"/>
          <w:szCs w:val="24"/>
        </w:rPr>
        <w:t xml:space="preserve"> eine erneute Kontaktaufnahme mit dem Spender erfolgen darf. Der Spender ist darüber aufzuklären. Gegenüber den Forschern darf die Verschlüsselung der Identität des Spenders nicht aufgehoben werden.</w:t>
      </w:r>
      <w:r w:rsidR="00976DE3" w:rsidRPr="00976DE3">
        <w:t xml:space="preserve"> </w:t>
      </w:r>
    </w:p>
    <w:p w14:paraId="2470B1DE" w14:textId="03DFF8D0" w:rsidR="00FF61C6" w:rsidRPr="00B90A22" w:rsidRDefault="006D54C9" w:rsidP="00E52E0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2060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lastRenderedPageBreak/>
        <w:t>Verfahrensregeln und Spenderaufklärung sollen insbesondere festlegen, ob und unter welchen Voraussetzungen eine Rückmeldung gesundheitlich relevanter Zufall</w:t>
      </w:r>
      <w:r w:rsidR="007E4437">
        <w:rPr>
          <w:rFonts w:ascii="Times New Roman" w:hAnsi="Times New Roman"/>
          <w:sz w:val="24"/>
          <w:szCs w:val="24"/>
        </w:rPr>
        <w:t>s</w:t>
      </w:r>
      <w:r w:rsidRPr="00B90A22">
        <w:rPr>
          <w:rFonts w:ascii="Times New Roman" w:hAnsi="Times New Roman"/>
          <w:sz w:val="24"/>
          <w:szCs w:val="24"/>
        </w:rPr>
        <w:t>befunde vorgesehen ist. Dabei ist das Recht des Spenders auf Nichtwissen zu achten</w:t>
      </w:r>
      <w:r w:rsidR="000B505B" w:rsidRPr="00B90A22">
        <w:rPr>
          <w:rFonts w:ascii="Times New Roman" w:hAnsi="Times New Roman"/>
          <w:sz w:val="24"/>
          <w:szCs w:val="24"/>
        </w:rPr>
        <w:t xml:space="preserve"> (vgl. Mustertext zur Einwill</w:t>
      </w:r>
      <w:r w:rsidR="000B505B" w:rsidRPr="00B90A22">
        <w:rPr>
          <w:rFonts w:ascii="Times New Roman" w:hAnsi="Times New Roman"/>
          <w:sz w:val="24"/>
          <w:szCs w:val="24"/>
        </w:rPr>
        <w:t>i</w:t>
      </w:r>
      <w:r w:rsidR="000B505B" w:rsidRPr="00B90A22">
        <w:rPr>
          <w:rFonts w:ascii="Times New Roman" w:hAnsi="Times New Roman"/>
          <w:sz w:val="24"/>
          <w:szCs w:val="24"/>
        </w:rPr>
        <w:t>gung)</w:t>
      </w:r>
      <w:r w:rsidRPr="00B90A22">
        <w:rPr>
          <w:rFonts w:ascii="Times New Roman" w:hAnsi="Times New Roman"/>
          <w:sz w:val="24"/>
          <w:szCs w:val="24"/>
        </w:rPr>
        <w:t>.</w:t>
      </w:r>
    </w:p>
    <w:p w14:paraId="12644700" w14:textId="77777777" w:rsidR="00E97F57" w:rsidRPr="00B90A22" w:rsidRDefault="000B505B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g</w:t>
      </w:r>
      <w:r w:rsidR="00E97F57" w:rsidRPr="00B90A22">
        <w:rPr>
          <w:rFonts w:ascii="Times New Roman" w:hAnsi="Times New Roman"/>
          <w:sz w:val="24"/>
          <w:szCs w:val="24"/>
        </w:rPr>
        <w:t xml:space="preserve">) </w:t>
      </w:r>
      <w:r w:rsidR="003F0671" w:rsidRPr="00B90A22">
        <w:rPr>
          <w:rFonts w:ascii="Times New Roman" w:hAnsi="Times New Roman"/>
          <w:sz w:val="24"/>
          <w:szCs w:val="24"/>
        </w:rPr>
        <w:t>Aufwandsentschädigung für die Biobank</w:t>
      </w:r>
    </w:p>
    <w:p w14:paraId="2C048B11" w14:textId="77777777" w:rsidR="00E97F57" w:rsidRPr="00B90A22" w:rsidRDefault="00E97F57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Die Biobank kann für die Bereitstellung von </w:t>
      </w:r>
      <w:r w:rsidRPr="00865D71">
        <w:rPr>
          <w:rFonts w:ascii="Times New Roman" w:hAnsi="Times New Roman"/>
          <w:sz w:val="24"/>
          <w:szCs w:val="24"/>
        </w:rPr>
        <w:t>Biomaterial</w:t>
      </w:r>
      <w:r w:rsidR="009217ED" w:rsidRPr="00865D71">
        <w:rPr>
          <w:rFonts w:ascii="Times New Roman" w:hAnsi="Times New Roman"/>
          <w:sz w:val="24"/>
          <w:szCs w:val="24"/>
        </w:rPr>
        <w:t xml:space="preserve">en </w:t>
      </w:r>
      <w:r w:rsidR="002C5845" w:rsidRPr="00865D71">
        <w:rPr>
          <w:rFonts w:ascii="Times New Roman" w:hAnsi="Times New Roman"/>
          <w:sz w:val="24"/>
          <w:szCs w:val="24"/>
        </w:rPr>
        <w:t>bzw.</w:t>
      </w:r>
      <w:r w:rsidRPr="00865D71">
        <w:rPr>
          <w:rFonts w:ascii="Times New Roman" w:hAnsi="Times New Roman"/>
          <w:sz w:val="24"/>
          <w:szCs w:val="24"/>
        </w:rPr>
        <w:t xml:space="preserve"> zugehörige</w:t>
      </w:r>
      <w:r w:rsidR="002C5845" w:rsidRPr="00865D71">
        <w:rPr>
          <w:rFonts w:ascii="Times New Roman" w:hAnsi="Times New Roman"/>
          <w:sz w:val="24"/>
          <w:szCs w:val="24"/>
        </w:rPr>
        <w:t>r</w:t>
      </w:r>
      <w:r w:rsidRPr="00865D71">
        <w:rPr>
          <w:rFonts w:ascii="Times New Roman" w:hAnsi="Times New Roman"/>
          <w:sz w:val="24"/>
          <w:szCs w:val="24"/>
        </w:rPr>
        <w:t xml:space="preserve"> Daten vom </w:t>
      </w:r>
      <w:r w:rsidR="009217ED" w:rsidRPr="00865D71">
        <w:rPr>
          <w:rFonts w:ascii="Times New Roman" w:hAnsi="Times New Roman"/>
          <w:sz w:val="24"/>
          <w:szCs w:val="24"/>
        </w:rPr>
        <w:t>j</w:t>
      </w:r>
      <w:r w:rsidR="009217ED" w:rsidRPr="00865D71">
        <w:rPr>
          <w:rFonts w:ascii="Times New Roman" w:hAnsi="Times New Roman"/>
          <w:sz w:val="24"/>
          <w:szCs w:val="24"/>
        </w:rPr>
        <w:t>e</w:t>
      </w:r>
      <w:r w:rsidR="009217ED" w:rsidRPr="00865D71">
        <w:rPr>
          <w:rFonts w:ascii="Times New Roman" w:hAnsi="Times New Roman"/>
          <w:sz w:val="24"/>
          <w:szCs w:val="24"/>
        </w:rPr>
        <w:t xml:space="preserve">weiligen </w:t>
      </w:r>
      <w:r w:rsidRPr="00865D71">
        <w:rPr>
          <w:rFonts w:ascii="Times New Roman" w:hAnsi="Times New Roman"/>
          <w:sz w:val="24"/>
          <w:szCs w:val="24"/>
        </w:rPr>
        <w:t>Nutzer</w:t>
      </w:r>
      <w:r w:rsidRPr="00B90A22">
        <w:rPr>
          <w:rFonts w:ascii="Times New Roman" w:hAnsi="Times New Roman"/>
          <w:sz w:val="24"/>
          <w:szCs w:val="24"/>
        </w:rPr>
        <w:t xml:space="preserve"> eine angemessene Aufwandsentschädigung verlangen.</w:t>
      </w:r>
    </w:p>
    <w:p w14:paraId="4557CA44" w14:textId="77777777" w:rsidR="00E97F57" w:rsidRPr="00B90A22" w:rsidRDefault="000B505B" w:rsidP="00E52E0E">
      <w:pPr>
        <w:pStyle w:val="berschrift21"/>
        <w:spacing w:after="120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>h</w:t>
      </w:r>
      <w:r w:rsidR="00E97F57" w:rsidRPr="00B90A22">
        <w:rPr>
          <w:rFonts w:ascii="Times New Roman" w:hAnsi="Times New Roman"/>
          <w:sz w:val="24"/>
          <w:szCs w:val="24"/>
        </w:rPr>
        <w:t>) Qualitätssicherung und Transparenz</w:t>
      </w:r>
    </w:p>
    <w:p w14:paraId="53F76A4B" w14:textId="77777777" w:rsidR="00E97F57" w:rsidRPr="00B90A22" w:rsidRDefault="00E97F57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A22">
        <w:rPr>
          <w:rFonts w:ascii="Times New Roman" w:hAnsi="Times New Roman"/>
          <w:sz w:val="24"/>
          <w:szCs w:val="24"/>
        </w:rPr>
        <w:t xml:space="preserve">Der Betreiber der Biobank hat dafür Sorge zu tragen, dass alle Vorgänge ordnungsgemäß durchgeführt und dokumentiert werden. Das Personal ist aufgabenspezifisch zu schulen und auf Verschwiegenheit zu verpflichten. </w:t>
      </w:r>
    </w:p>
    <w:p w14:paraId="55B5A60C" w14:textId="77777777" w:rsidR="00AF0C3F" w:rsidRDefault="00780518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65D71">
        <w:rPr>
          <w:rFonts w:ascii="Times New Roman" w:hAnsi="Times New Roman"/>
          <w:sz w:val="24"/>
          <w:szCs w:val="24"/>
        </w:rPr>
        <w:t>Größere bzw. projektübergreifende</w:t>
      </w:r>
      <w:r w:rsidR="001105E1" w:rsidRPr="00865D71">
        <w:rPr>
          <w:rFonts w:ascii="Times New Roman" w:hAnsi="Times New Roman"/>
          <w:sz w:val="24"/>
          <w:szCs w:val="24"/>
        </w:rPr>
        <w:t xml:space="preserve"> </w:t>
      </w:r>
      <w:r w:rsidR="002D20A2" w:rsidRPr="00865D71">
        <w:rPr>
          <w:rFonts w:ascii="Times New Roman" w:hAnsi="Times New Roman"/>
          <w:sz w:val="24"/>
          <w:szCs w:val="24"/>
        </w:rPr>
        <w:t>Biobanken</w:t>
      </w:r>
      <w:r w:rsidR="002D20A2" w:rsidRPr="00B90A22">
        <w:rPr>
          <w:rFonts w:ascii="Times New Roman" w:hAnsi="Times New Roman"/>
          <w:sz w:val="24"/>
          <w:szCs w:val="24"/>
        </w:rPr>
        <w:t xml:space="preserve"> </w:t>
      </w:r>
      <w:r w:rsidR="00831231">
        <w:rPr>
          <w:rFonts w:ascii="Times New Roman" w:hAnsi="Times New Roman"/>
          <w:sz w:val="24"/>
          <w:szCs w:val="24"/>
        </w:rPr>
        <w:t xml:space="preserve">sollen </w:t>
      </w:r>
      <w:r w:rsidR="0096787F" w:rsidRPr="00B90A22">
        <w:rPr>
          <w:rFonts w:ascii="Times New Roman" w:hAnsi="Times New Roman"/>
          <w:sz w:val="24"/>
          <w:szCs w:val="24"/>
        </w:rPr>
        <w:t>die Öffentlichkeit in angemessenem Umfang über ihre Tätigkeit informieren, z.B. über eine Internetpräsenz.</w:t>
      </w:r>
    </w:p>
    <w:p w14:paraId="34AFFC4B" w14:textId="680F17F5" w:rsidR="00976DE3" w:rsidRPr="000B505B" w:rsidRDefault="00976DE3" w:rsidP="00E52E0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76DE3" w:rsidRPr="000B505B" w:rsidSect="00156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61490" w14:textId="77777777" w:rsidR="00594884" w:rsidRDefault="00594884" w:rsidP="00350062">
      <w:pPr>
        <w:spacing w:after="0" w:line="240" w:lineRule="auto"/>
      </w:pPr>
      <w:r>
        <w:separator/>
      </w:r>
    </w:p>
  </w:endnote>
  <w:endnote w:type="continuationSeparator" w:id="0">
    <w:p w14:paraId="2B86A499" w14:textId="77777777" w:rsidR="00594884" w:rsidRDefault="00594884" w:rsidP="003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3F57" w14:textId="77777777" w:rsidR="00B8199D" w:rsidRDefault="00B8199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FBC76" w14:textId="77777777" w:rsidR="00B8199D" w:rsidRDefault="00B8199D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263B5">
      <w:rPr>
        <w:noProof/>
      </w:rPr>
      <w:t>1</w:t>
    </w:r>
    <w:r>
      <w:fldChar w:fldCharType="end"/>
    </w:r>
  </w:p>
  <w:p w14:paraId="6DCDDC32" w14:textId="77777777" w:rsidR="00B8199D" w:rsidRDefault="00B8199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4BE25" w14:textId="77777777" w:rsidR="00B8199D" w:rsidRDefault="00B819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78DDB" w14:textId="77777777" w:rsidR="00594884" w:rsidRDefault="00594884" w:rsidP="00350062">
      <w:pPr>
        <w:spacing w:after="0" w:line="240" w:lineRule="auto"/>
      </w:pPr>
      <w:r>
        <w:separator/>
      </w:r>
    </w:p>
  </w:footnote>
  <w:footnote w:type="continuationSeparator" w:id="0">
    <w:p w14:paraId="6A5AB5A7" w14:textId="77777777" w:rsidR="00594884" w:rsidRDefault="00594884" w:rsidP="00350062">
      <w:pPr>
        <w:spacing w:after="0" w:line="240" w:lineRule="auto"/>
      </w:pPr>
      <w:r>
        <w:continuationSeparator/>
      </w:r>
    </w:p>
  </w:footnote>
  <w:footnote w:id="1">
    <w:p w14:paraId="0056865A" w14:textId="77777777" w:rsidR="00B8199D" w:rsidRDefault="00B8199D">
      <w:pPr>
        <w:pStyle w:val="Funotentext"/>
      </w:pPr>
      <w:r>
        <w:rPr>
          <w:rStyle w:val="Funotenzeichen"/>
        </w:rPr>
        <w:footnoteRef/>
      </w:r>
      <w:r>
        <w:t xml:space="preserve"> Nach weitergehender Auffassung muss der Träger der Biobank stets ein Votum bei der für ihn zuständigen Ethik-Kommission einholen, wenn der antragstellende Forscher kein Ethikvotum vorlegt.</w:t>
      </w:r>
    </w:p>
  </w:footnote>
  <w:footnote w:id="2">
    <w:p w14:paraId="126CEDF2" w14:textId="77777777" w:rsidR="00B8199D" w:rsidRDefault="00B8199D">
      <w:pPr>
        <w:pStyle w:val="Funotentext"/>
      </w:pPr>
      <w:r>
        <w:rPr>
          <w:rStyle w:val="Funotenzeichen"/>
        </w:rPr>
        <w:footnoteRef/>
      </w:r>
      <w:r>
        <w:t xml:space="preserve"> Falls zur Gewinnung des Probenmaterials ein zusätzlicher körperlicher Eingriff vorgesehen ist, ist insoweit stets ein Arzt für die Aufklärung und Einholung der Einwilligung verantwortlich.</w:t>
      </w:r>
    </w:p>
  </w:footnote>
  <w:footnote w:id="3">
    <w:p w14:paraId="77F1246E" w14:textId="77777777" w:rsidR="00B8199D" w:rsidRDefault="00B8199D" w:rsidP="004935ED">
      <w:pPr>
        <w:pStyle w:val="Funotentext"/>
      </w:pPr>
      <w:r>
        <w:rPr>
          <w:rStyle w:val="Funotenzeichen"/>
        </w:rPr>
        <w:footnoteRef/>
      </w:r>
      <w:r>
        <w:t xml:space="preserve"> Dies soll eine Personenidentifizierung durch Dritte verhindern, steht aber einer möglichen fortbestehenden Kenntnis durch den behandelnden Arzt selbstverständlich nicht entgegen.</w:t>
      </w:r>
    </w:p>
  </w:footnote>
  <w:footnote w:id="4">
    <w:p w14:paraId="69517817" w14:textId="61520A6F" w:rsidR="006B48D5" w:rsidRDefault="006B48D5" w:rsidP="006B48D5">
      <w:pPr>
        <w:pStyle w:val="Funotentext"/>
      </w:pPr>
      <w:r>
        <w:rPr>
          <w:rStyle w:val="Funotenzeichen"/>
        </w:rPr>
        <w:footnoteRef/>
      </w:r>
      <w:r>
        <w:t xml:space="preserve"> Dies folgt dem Prinzip der„i</w:t>
      </w:r>
      <w:r w:rsidRPr="00750507">
        <w:t>nformationelle</w:t>
      </w:r>
      <w:r>
        <w:t>n</w:t>
      </w:r>
      <w:r w:rsidRPr="00750507">
        <w:t xml:space="preserve"> Gewaltenteilung</w:t>
      </w:r>
      <w:r>
        <w:t xml:space="preserve">“, wonach </w:t>
      </w:r>
      <w:r w:rsidRPr="00750507">
        <w:t>Daten so auf verschiedene Datenspe</w:t>
      </w:r>
      <w:r w:rsidRPr="00750507">
        <w:t>i</w:t>
      </w:r>
      <w:r w:rsidRPr="00750507">
        <w:t>cher mit wechselseitig nicht weisungsbefugter Administration auf</w:t>
      </w:r>
      <w:r>
        <w:t>geteilt werden, dass die einzel</w:t>
      </w:r>
      <w:r w:rsidRPr="00750507">
        <w:t xml:space="preserve">nen Teile nicht zu einer unbefugten Reidentifikation von </w:t>
      </w:r>
      <w:r>
        <w:t>betroffenen Personen führen kön</w:t>
      </w:r>
      <w:r w:rsidRPr="00750507">
        <w:t>nen</w:t>
      </w:r>
      <w:r>
        <w:t xml:space="preserve"> (Leitfaden zum Datenschutz in medizinischen Forschungsprojekten Generische Lösungen der TMF – Version 2).</w:t>
      </w:r>
    </w:p>
  </w:footnote>
  <w:footnote w:id="5">
    <w:p w14:paraId="790F99C5" w14:textId="77777777" w:rsidR="004E6F05" w:rsidRDefault="004E6F05">
      <w:pPr>
        <w:pStyle w:val="Funotentext"/>
      </w:pPr>
      <w:r>
        <w:rPr>
          <w:rStyle w:val="Funotenzeichen"/>
        </w:rPr>
        <w:footnoteRef/>
      </w:r>
      <w:r>
        <w:t xml:space="preserve"> Eine Vernichtung der Proben ist grds. zumutbar, soweit die Biobank Zugriff auf die Probe hat.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DD76" w14:textId="77777777" w:rsidR="00B8199D" w:rsidRDefault="00B819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D59A8" w14:textId="6AC327CB" w:rsidR="00B8199D" w:rsidRDefault="00B8199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8D34" w14:textId="77777777" w:rsidR="00B8199D" w:rsidRDefault="00B819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62E"/>
    <w:multiLevelType w:val="hybridMultilevel"/>
    <w:tmpl w:val="9146A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38AB"/>
    <w:multiLevelType w:val="hybridMultilevel"/>
    <w:tmpl w:val="CBACF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9CD"/>
    <w:multiLevelType w:val="hybridMultilevel"/>
    <w:tmpl w:val="D9FC2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1009"/>
    <w:multiLevelType w:val="hybridMultilevel"/>
    <w:tmpl w:val="C9A08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5B64"/>
    <w:multiLevelType w:val="hybridMultilevel"/>
    <w:tmpl w:val="AACA9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56367"/>
    <w:multiLevelType w:val="hybridMultilevel"/>
    <w:tmpl w:val="5CA47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650FD"/>
    <w:multiLevelType w:val="hybridMultilevel"/>
    <w:tmpl w:val="75106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F66FA"/>
    <w:multiLevelType w:val="hybridMultilevel"/>
    <w:tmpl w:val="9E5A8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85BB2"/>
    <w:multiLevelType w:val="hybridMultilevel"/>
    <w:tmpl w:val="C21EAD42"/>
    <w:lvl w:ilvl="0" w:tplc="F8686100">
      <w:start w:val="18"/>
      <w:numFmt w:val="bullet"/>
      <w:lvlText w:val="–"/>
      <w:lvlJc w:val="left"/>
      <w:pPr>
        <w:tabs>
          <w:tab w:val="num" w:pos="1320"/>
        </w:tabs>
        <w:ind w:left="1320" w:hanging="60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2B0CC9"/>
    <w:multiLevelType w:val="hybridMultilevel"/>
    <w:tmpl w:val="44B42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E6A2A"/>
    <w:multiLevelType w:val="hybridMultilevel"/>
    <w:tmpl w:val="351CF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33FFD"/>
    <w:multiLevelType w:val="hybridMultilevel"/>
    <w:tmpl w:val="0422D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A2EDD"/>
    <w:multiLevelType w:val="hybridMultilevel"/>
    <w:tmpl w:val="1DAA7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02566"/>
    <w:multiLevelType w:val="hybridMultilevel"/>
    <w:tmpl w:val="C916F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1D"/>
    <w:rsid w:val="00007E56"/>
    <w:rsid w:val="000209EE"/>
    <w:rsid w:val="00022D84"/>
    <w:rsid w:val="00051E86"/>
    <w:rsid w:val="0007241A"/>
    <w:rsid w:val="000846F7"/>
    <w:rsid w:val="00087012"/>
    <w:rsid w:val="00095981"/>
    <w:rsid w:val="00095B1F"/>
    <w:rsid w:val="000A0B2D"/>
    <w:rsid w:val="000A2EBB"/>
    <w:rsid w:val="000A6512"/>
    <w:rsid w:val="000A6614"/>
    <w:rsid w:val="000B4136"/>
    <w:rsid w:val="000B505B"/>
    <w:rsid w:val="000D32FF"/>
    <w:rsid w:val="000D6A52"/>
    <w:rsid w:val="000E73FA"/>
    <w:rsid w:val="000F1880"/>
    <w:rsid w:val="001105E1"/>
    <w:rsid w:val="001127F4"/>
    <w:rsid w:val="001218F5"/>
    <w:rsid w:val="001243D3"/>
    <w:rsid w:val="001351F8"/>
    <w:rsid w:val="00141DFA"/>
    <w:rsid w:val="001551FC"/>
    <w:rsid w:val="00156F01"/>
    <w:rsid w:val="00170349"/>
    <w:rsid w:val="00181B03"/>
    <w:rsid w:val="00190286"/>
    <w:rsid w:val="00192282"/>
    <w:rsid w:val="001A5FEE"/>
    <w:rsid w:val="001B3F4A"/>
    <w:rsid w:val="001B47DD"/>
    <w:rsid w:val="001B54C6"/>
    <w:rsid w:val="001B77E5"/>
    <w:rsid w:val="001C208C"/>
    <w:rsid w:val="001D15F0"/>
    <w:rsid w:val="001D1EE4"/>
    <w:rsid w:val="001D75C8"/>
    <w:rsid w:val="001E0E25"/>
    <w:rsid w:val="001E1243"/>
    <w:rsid w:val="001E6CAC"/>
    <w:rsid w:val="001F281F"/>
    <w:rsid w:val="00223934"/>
    <w:rsid w:val="002342B8"/>
    <w:rsid w:val="00246C8C"/>
    <w:rsid w:val="00291160"/>
    <w:rsid w:val="002A64F7"/>
    <w:rsid w:val="002B4708"/>
    <w:rsid w:val="002B7E9E"/>
    <w:rsid w:val="002C5845"/>
    <w:rsid w:val="002D20A2"/>
    <w:rsid w:val="002D5685"/>
    <w:rsid w:val="002E3658"/>
    <w:rsid w:val="002E47A0"/>
    <w:rsid w:val="002E6F27"/>
    <w:rsid w:val="00331AF8"/>
    <w:rsid w:val="0034071E"/>
    <w:rsid w:val="00344CB4"/>
    <w:rsid w:val="00350062"/>
    <w:rsid w:val="00357977"/>
    <w:rsid w:val="00357FBA"/>
    <w:rsid w:val="0036758D"/>
    <w:rsid w:val="00373363"/>
    <w:rsid w:val="00373695"/>
    <w:rsid w:val="00373BD9"/>
    <w:rsid w:val="0037766F"/>
    <w:rsid w:val="00381F72"/>
    <w:rsid w:val="00386D51"/>
    <w:rsid w:val="00387304"/>
    <w:rsid w:val="003873E1"/>
    <w:rsid w:val="00393E80"/>
    <w:rsid w:val="0039586C"/>
    <w:rsid w:val="003A204B"/>
    <w:rsid w:val="003A60EC"/>
    <w:rsid w:val="003A65D6"/>
    <w:rsid w:val="003A72B1"/>
    <w:rsid w:val="003B42CF"/>
    <w:rsid w:val="003B4850"/>
    <w:rsid w:val="003C0160"/>
    <w:rsid w:val="003C5345"/>
    <w:rsid w:val="003C68E1"/>
    <w:rsid w:val="003C7ECE"/>
    <w:rsid w:val="003D6E48"/>
    <w:rsid w:val="003E2BA3"/>
    <w:rsid w:val="003F0671"/>
    <w:rsid w:val="003F130D"/>
    <w:rsid w:val="003F5011"/>
    <w:rsid w:val="00401491"/>
    <w:rsid w:val="00421283"/>
    <w:rsid w:val="00431F68"/>
    <w:rsid w:val="00434D71"/>
    <w:rsid w:val="00452325"/>
    <w:rsid w:val="00453B37"/>
    <w:rsid w:val="00475D48"/>
    <w:rsid w:val="00482655"/>
    <w:rsid w:val="0048676C"/>
    <w:rsid w:val="00486EEA"/>
    <w:rsid w:val="00491DCD"/>
    <w:rsid w:val="004935ED"/>
    <w:rsid w:val="004944FC"/>
    <w:rsid w:val="004A396C"/>
    <w:rsid w:val="004A3FC6"/>
    <w:rsid w:val="004A56A4"/>
    <w:rsid w:val="004A5EF1"/>
    <w:rsid w:val="004B6902"/>
    <w:rsid w:val="004B7611"/>
    <w:rsid w:val="004C6036"/>
    <w:rsid w:val="004C7095"/>
    <w:rsid w:val="004D29CA"/>
    <w:rsid w:val="004D7FFD"/>
    <w:rsid w:val="004E6F05"/>
    <w:rsid w:val="005024CC"/>
    <w:rsid w:val="00502603"/>
    <w:rsid w:val="00506821"/>
    <w:rsid w:val="00514210"/>
    <w:rsid w:val="00522B11"/>
    <w:rsid w:val="0052466D"/>
    <w:rsid w:val="00525FEF"/>
    <w:rsid w:val="00527D8D"/>
    <w:rsid w:val="00533067"/>
    <w:rsid w:val="0055463A"/>
    <w:rsid w:val="00557F73"/>
    <w:rsid w:val="005669CA"/>
    <w:rsid w:val="00576A12"/>
    <w:rsid w:val="0058713D"/>
    <w:rsid w:val="00594884"/>
    <w:rsid w:val="005B0D95"/>
    <w:rsid w:val="005B2820"/>
    <w:rsid w:val="005F2F2C"/>
    <w:rsid w:val="005F7343"/>
    <w:rsid w:val="0060174C"/>
    <w:rsid w:val="00603684"/>
    <w:rsid w:val="006043F8"/>
    <w:rsid w:val="00614B47"/>
    <w:rsid w:val="00624602"/>
    <w:rsid w:val="0062647B"/>
    <w:rsid w:val="0064526A"/>
    <w:rsid w:val="006503D8"/>
    <w:rsid w:val="00653867"/>
    <w:rsid w:val="0067456C"/>
    <w:rsid w:val="006773D0"/>
    <w:rsid w:val="006A648B"/>
    <w:rsid w:val="006B0A12"/>
    <w:rsid w:val="006B19FF"/>
    <w:rsid w:val="006B48D5"/>
    <w:rsid w:val="006B501B"/>
    <w:rsid w:val="006C2A84"/>
    <w:rsid w:val="006C531E"/>
    <w:rsid w:val="006D54C9"/>
    <w:rsid w:val="006E3848"/>
    <w:rsid w:val="006F170B"/>
    <w:rsid w:val="007036F5"/>
    <w:rsid w:val="0070511C"/>
    <w:rsid w:val="00726CA9"/>
    <w:rsid w:val="00732987"/>
    <w:rsid w:val="007410EA"/>
    <w:rsid w:val="00747A47"/>
    <w:rsid w:val="007509F3"/>
    <w:rsid w:val="007523D0"/>
    <w:rsid w:val="007550D5"/>
    <w:rsid w:val="007611DE"/>
    <w:rsid w:val="00767355"/>
    <w:rsid w:val="00771CC0"/>
    <w:rsid w:val="00780518"/>
    <w:rsid w:val="00784AA7"/>
    <w:rsid w:val="00791879"/>
    <w:rsid w:val="00796617"/>
    <w:rsid w:val="007A4B0D"/>
    <w:rsid w:val="007B0790"/>
    <w:rsid w:val="007B1E39"/>
    <w:rsid w:val="007B5F88"/>
    <w:rsid w:val="007B7036"/>
    <w:rsid w:val="007B7296"/>
    <w:rsid w:val="007C3E53"/>
    <w:rsid w:val="007E19DD"/>
    <w:rsid w:val="007E4437"/>
    <w:rsid w:val="00803E40"/>
    <w:rsid w:val="00825E12"/>
    <w:rsid w:val="008263B5"/>
    <w:rsid w:val="00831231"/>
    <w:rsid w:val="00837799"/>
    <w:rsid w:val="008401F3"/>
    <w:rsid w:val="00844091"/>
    <w:rsid w:val="00857BE9"/>
    <w:rsid w:val="00862134"/>
    <w:rsid w:val="00865D71"/>
    <w:rsid w:val="00872B76"/>
    <w:rsid w:val="00894CB2"/>
    <w:rsid w:val="008A1D24"/>
    <w:rsid w:val="008A2D07"/>
    <w:rsid w:val="008A71D8"/>
    <w:rsid w:val="008B41D0"/>
    <w:rsid w:val="008C7B00"/>
    <w:rsid w:val="008F3C88"/>
    <w:rsid w:val="008F5E12"/>
    <w:rsid w:val="0090035A"/>
    <w:rsid w:val="0090688C"/>
    <w:rsid w:val="00907CA4"/>
    <w:rsid w:val="009118FE"/>
    <w:rsid w:val="0091199E"/>
    <w:rsid w:val="009122EE"/>
    <w:rsid w:val="00912C5D"/>
    <w:rsid w:val="009131BB"/>
    <w:rsid w:val="00916016"/>
    <w:rsid w:val="009217ED"/>
    <w:rsid w:val="009245E4"/>
    <w:rsid w:val="00931944"/>
    <w:rsid w:val="00935BEC"/>
    <w:rsid w:val="00940A22"/>
    <w:rsid w:val="0094743F"/>
    <w:rsid w:val="00955A2C"/>
    <w:rsid w:val="009677F9"/>
    <w:rsid w:val="0096787F"/>
    <w:rsid w:val="00976DE3"/>
    <w:rsid w:val="00982E36"/>
    <w:rsid w:val="0098760F"/>
    <w:rsid w:val="00996938"/>
    <w:rsid w:val="009A2A8B"/>
    <w:rsid w:val="009D58BC"/>
    <w:rsid w:val="009D7066"/>
    <w:rsid w:val="009E1E25"/>
    <w:rsid w:val="009E48E4"/>
    <w:rsid w:val="009F076B"/>
    <w:rsid w:val="00A04F39"/>
    <w:rsid w:val="00A15E56"/>
    <w:rsid w:val="00A23D53"/>
    <w:rsid w:val="00A248D2"/>
    <w:rsid w:val="00A24E39"/>
    <w:rsid w:val="00A31B72"/>
    <w:rsid w:val="00A32D62"/>
    <w:rsid w:val="00A52AE0"/>
    <w:rsid w:val="00A61256"/>
    <w:rsid w:val="00A634F5"/>
    <w:rsid w:val="00A63C97"/>
    <w:rsid w:val="00A6673B"/>
    <w:rsid w:val="00A679E7"/>
    <w:rsid w:val="00A773BC"/>
    <w:rsid w:val="00A77FE0"/>
    <w:rsid w:val="00A829E7"/>
    <w:rsid w:val="00A839AB"/>
    <w:rsid w:val="00A86D47"/>
    <w:rsid w:val="00AA6C3A"/>
    <w:rsid w:val="00AB31A5"/>
    <w:rsid w:val="00AC4A64"/>
    <w:rsid w:val="00AC6A4A"/>
    <w:rsid w:val="00AE6A2F"/>
    <w:rsid w:val="00AF0C3F"/>
    <w:rsid w:val="00B01E9D"/>
    <w:rsid w:val="00B24EBD"/>
    <w:rsid w:val="00B26C0A"/>
    <w:rsid w:val="00B454FA"/>
    <w:rsid w:val="00B5687D"/>
    <w:rsid w:val="00B6155B"/>
    <w:rsid w:val="00B6332F"/>
    <w:rsid w:val="00B722A3"/>
    <w:rsid w:val="00B744F2"/>
    <w:rsid w:val="00B8199D"/>
    <w:rsid w:val="00B90A22"/>
    <w:rsid w:val="00BA2184"/>
    <w:rsid w:val="00BB2152"/>
    <w:rsid w:val="00BC0607"/>
    <w:rsid w:val="00BD5FCF"/>
    <w:rsid w:val="00BD627A"/>
    <w:rsid w:val="00BE0525"/>
    <w:rsid w:val="00BE6736"/>
    <w:rsid w:val="00C13A09"/>
    <w:rsid w:val="00C16A5E"/>
    <w:rsid w:val="00C20759"/>
    <w:rsid w:val="00C339B3"/>
    <w:rsid w:val="00C355BB"/>
    <w:rsid w:val="00C35AAB"/>
    <w:rsid w:val="00C52B7B"/>
    <w:rsid w:val="00C7232F"/>
    <w:rsid w:val="00C748A3"/>
    <w:rsid w:val="00C9481C"/>
    <w:rsid w:val="00C97B61"/>
    <w:rsid w:val="00CA1A06"/>
    <w:rsid w:val="00CA2ED1"/>
    <w:rsid w:val="00CA76EC"/>
    <w:rsid w:val="00CB2719"/>
    <w:rsid w:val="00CB6162"/>
    <w:rsid w:val="00CC2B49"/>
    <w:rsid w:val="00CC3B9C"/>
    <w:rsid w:val="00CC5CC8"/>
    <w:rsid w:val="00CD3B94"/>
    <w:rsid w:val="00CD79E7"/>
    <w:rsid w:val="00CE117F"/>
    <w:rsid w:val="00CE2872"/>
    <w:rsid w:val="00CE5CD7"/>
    <w:rsid w:val="00CE6306"/>
    <w:rsid w:val="00CF1862"/>
    <w:rsid w:val="00D022C2"/>
    <w:rsid w:val="00D03D22"/>
    <w:rsid w:val="00D14B52"/>
    <w:rsid w:val="00D217AE"/>
    <w:rsid w:val="00D247DC"/>
    <w:rsid w:val="00D32BD4"/>
    <w:rsid w:val="00D37101"/>
    <w:rsid w:val="00D52AAD"/>
    <w:rsid w:val="00D64895"/>
    <w:rsid w:val="00D65E2D"/>
    <w:rsid w:val="00D91924"/>
    <w:rsid w:val="00DC24F9"/>
    <w:rsid w:val="00DC7251"/>
    <w:rsid w:val="00DD2968"/>
    <w:rsid w:val="00DD38F5"/>
    <w:rsid w:val="00DD6758"/>
    <w:rsid w:val="00DE09A0"/>
    <w:rsid w:val="00DE0B2E"/>
    <w:rsid w:val="00DE3790"/>
    <w:rsid w:val="00DF0885"/>
    <w:rsid w:val="00DF3BD1"/>
    <w:rsid w:val="00E00672"/>
    <w:rsid w:val="00E01105"/>
    <w:rsid w:val="00E026A7"/>
    <w:rsid w:val="00E04CB7"/>
    <w:rsid w:val="00E066AA"/>
    <w:rsid w:val="00E21BA8"/>
    <w:rsid w:val="00E32CA1"/>
    <w:rsid w:val="00E414D9"/>
    <w:rsid w:val="00E45B99"/>
    <w:rsid w:val="00E47E2F"/>
    <w:rsid w:val="00E52BFB"/>
    <w:rsid w:val="00E52E0E"/>
    <w:rsid w:val="00E6119F"/>
    <w:rsid w:val="00E626D8"/>
    <w:rsid w:val="00E77A1B"/>
    <w:rsid w:val="00E947CA"/>
    <w:rsid w:val="00E97F57"/>
    <w:rsid w:val="00EA6265"/>
    <w:rsid w:val="00EA7FE1"/>
    <w:rsid w:val="00EB09A9"/>
    <w:rsid w:val="00EC3E7F"/>
    <w:rsid w:val="00EC521D"/>
    <w:rsid w:val="00ED0B93"/>
    <w:rsid w:val="00EF0D6F"/>
    <w:rsid w:val="00F05BDC"/>
    <w:rsid w:val="00F12910"/>
    <w:rsid w:val="00F13BC7"/>
    <w:rsid w:val="00F15606"/>
    <w:rsid w:val="00F16873"/>
    <w:rsid w:val="00F2339A"/>
    <w:rsid w:val="00F2499F"/>
    <w:rsid w:val="00F31F0A"/>
    <w:rsid w:val="00F375B6"/>
    <w:rsid w:val="00F5101C"/>
    <w:rsid w:val="00F56D82"/>
    <w:rsid w:val="00F57ABB"/>
    <w:rsid w:val="00F57E35"/>
    <w:rsid w:val="00F7046A"/>
    <w:rsid w:val="00F72E17"/>
    <w:rsid w:val="00F75920"/>
    <w:rsid w:val="00F84A9A"/>
    <w:rsid w:val="00F87908"/>
    <w:rsid w:val="00F90372"/>
    <w:rsid w:val="00F91C4E"/>
    <w:rsid w:val="00F95214"/>
    <w:rsid w:val="00FA1770"/>
    <w:rsid w:val="00FA4477"/>
    <w:rsid w:val="00FA78DE"/>
    <w:rsid w:val="00FB68F3"/>
    <w:rsid w:val="00FC3282"/>
    <w:rsid w:val="00FC59F5"/>
    <w:rsid w:val="00FD3613"/>
    <w:rsid w:val="00FE5756"/>
    <w:rsid w:val="00FE661A"/>
    <w:rsid w:val="00FF0D86"/>
    <w:rsid w:val="00FF5CE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F2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F0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Heading1Char"/>
    <w:uiPriority w:val="99"/>
    <w:rsid w:val="00D03D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berschrift21">
    <w:name w:val="Überschrift 21"/>
    <w:basedOn w:val="Standard"/>
    <w:next w:val="Standard"/>
    <w:link w:val="Heading2Char"/>
    <w:uiPriority w:val="99"/>
    <w:rsid w:val="007523D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berschrift31">
    <w:name w:val="Überschrift 31"/>
    <w:basedOn w:val="Standard"/>
    <w:next w:val="Standard"/>
    <w:link w:val="Heading3Char"/>
    <w:uiPriority w:val="99"/>
    <w:rsid w:val="00B01E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Heading1Char">
    <w:name w:val="Heading 1 Char"/>
    <w:link w:val="berschrift11"/>
    <w:uiPriority w:val="99"/>
    <w:locked/>
    <w:rsid w:val="00D03D22"/>
    <w:rPr>
      <w:rFonts w:ascii="Cambria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D03D22"/>
    <w:pPr>
      <w:ind w:left="720"/>
      <w:contextualSpacing/>
    </w:pPr>
  </w:style>
  <w:style w:type="character" w:customStyle="1" w:styleId="Heading2Char">
    <w:name w:val="Heading 2 Char"/>
    <w:link w:val="berschrift21"/>
    <w:uiPriority w:val="99"/>
    <w:locked/>
    <w:rsid w:val="007523D0"/>
    <w:rPr>
      <w:rFonts w:ascii="Cambria" w:hAnsi="Cambria" w:cs="Times New Roman"/>
      <w:b/>
      <w:bCs/>
      <w:color w:val="4F81BD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rsid w:val="00F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9037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3500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350062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350062"/>
    <w:rPr>
      <w:rFonts w:cs="Times New Roman"/>
      <w:vertAlign w:val="superscript"/>
    </w:rPr>
  </w:style>
  <w:style w:type="character" w:customStyle="1" w:styleId="Heading3Char">
    <w:name w:val="Heading 3 Char"/>
    <w:link w:val="berschrift31"/>
    <w:uiPriority w:val="99"/>
    <w:locked/>
    <w:rsid w:val="00B01E9D"/>
    <w:rPr>
      <w:rFonts w:ascii="Cambria" w:hAnsi="Cambria" w:cs="Times New Roman"/>
      <w:b/>
      <w:bCs/>
      <w:color w:val="4F81BD"/>
    </w:rPr>
  </w:style>
  <w:style w:type="character" w:styleId="Kommentarzeichen">
    <w:name w:val="annotation reference"/>
    <w:uiPriority w:val="99"/>
    <w:semiHidden/>
    <w:rsid w:val="002911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911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29116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911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291160"/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634F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A634F5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FA78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F0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Heading1Char"/>
    <w:uiPriority w:val="99"/>
    <w:rsid w:val="00D03D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berschrift21">
    <w:name w:val="Überschrift 21"/>
    <w:basedOn w:val="Standard"/>
    <w:next w:val="Standard"/>
    <w:link w:val="Heading2Char"/>
    <w:uiPriority w:val="99"/>
    <w:rsid w:val="007523D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berschrift31">
    <w:name w:val="Überschrift 31"/>
    <w:basedOn w:val="Standard"/>
    <w:next w:val="Standard"/>
    <w:link w:val="Heading3Char"/>
    <w:uiPriority w:val="99"/>
    <w:rsid w:val="00B01E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Heading1Char">
    <w:name w:val="Heading 1 Char"/>
    <w:link w:val="berschrift11"/>
    <w:uiPriority w:val="99"/>
    <w:locked/>
    <w:rsid w:val="00D03D22"/>
    <w:rPr>
      <w:rFonts w:ascii="Cambria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D03D22"/>
    <w:pPr>
      <w:ind w:left="720"/>
      <w:contextualSpacing/>
    </w:pPr>
  </w:style>
  <w:style w:type="character" w:customStyle="1" w:styleId="Heading2Char">
    <w:name w:val="Heading 2 Char"/>
    <w:link w:val="berschrift21"/>
    <w:uiPriority w:val="99"/>
    <w:locked/>
    <w:rsid w:val="007523D0"/>
    <w:rPr>
      <w:rFonts w:ascii="Cambria" w:hAnsi="Cambria" w:cs="Times New Roman"/>
      <w:b/>
      <w:bCs/>
      <w:color w:val="4F81BD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rsid w:val="00F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9037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3500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350062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350062"/>
    <w:rPr>
      <w:rFonts w:cs="Times New Roman"/>
      <w:vertAlign w:val="superscript"/>
    </w:rPr>
  </w:style>
  <w:style w:type="character" w:customStyle="1" w:styleId="Heading3Char">
    <w:name w:val="Heading 3 Char"/>
    <w:link w:val="berschrift31"/>
    <w:uiPriority w:val="99"/>
    <w:locked/>
    <w:rsid w:val="00B01E9D"/>
    <w:rPr>
      <w:rFonts w:ascii="Cambria" w:hAnsi="Cambria" w:cs="Times New Roman"/>
      <w:b/>
      <w:bCs/>
      <w:color w:val="4F81BD"/>
    </w:rPr>
  </w:style>
  <w:style w:type="character" w:styleId="Kommentarzeichen">
    <w:name w:val="annotation reference"/>
    <w:uiPriority w:val="99"/>
    <w:semiHidden/>
    <w:rsid w:val="002911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911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29116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911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291160"/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634F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A634F5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FA78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D807-0840-4A2F-9F29-9C9E0150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1946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Zentrale Kriterien für Ethik-Kommissionen bei der Beurteilung for-schungsbezogener Biobanken</vt:lpstr>
    </vt:vector>
  </TitlesOfParts>
  <Company>UKW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Zentrale Kriterien für Ethik-Kommissionen bei der Beurteilung for-schungsbezogener Biobanken</dc:title>
  <dc:creator>Sebastian Graf von Kielmansegg</dc:creator>
  <cp:lastModifiedBy>bhenriku</cp:lastModifiedBy>
  <cp:revision>2</cp:revision>
  <cp:lastPrinted>2015-05-05T19:07:00Z</cp:lastPrinted>
  <dcterms:created xsi:type="dcterms:W3CDTF">2015-11-30T09:24:00Z</dcterms:created>
  <dcterms:modified xsi:type="dcterms:W3CDTF">2015-11-30T09:24:00Z</dcterms:modified>
</cp:coreProperties>
</file>