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B72F15" w14:textId="45D44F7E" w:rsidR="00905F1A" w:rsidRPr="00684641" w:rsidRDefault="00905F1A" w:rsidP="0057056D">
      <w:pPr>
        <w:spacing w:line="240" w:lineRule="auto"/>
        <w:jc w:val="both"/>
        <w:rPr>
          <w:rFonts w:asciiTheme="minorHAnsi" w:hAnsiTheme="minorHAnsi" w:cstheme="minorHAnsi"/>
          <w:spacing w:val="0"/>
        </w:rPr>
      </w:pPr>
    </w:p>
    <w:p w14:paraId="40961F48" w14:textId="77777777" w:rsidR="009F1C26" w:rsidRPr="000B4FD8" w:rsidRDefault="009F1C26" w:rsidP="009F1C26">
      <w:pPr>
        <w:keepNext/>
        <w:keepLines/>
        <w:spacing w:line="240" w:lineRule="auto"/>
        <w:jc w:val="both"/>
        <w:outlineLvl w:val="1"/>
        <w:rPr>
          <w:rFonts w:asciiTheme="minorHAnsi" w:hAnsiTheme="minorHAnsi" w:cstheme="minorHAnsi"/>
          <w:b/>
          <w:bCs/>
          <w:sz w:val="32"/>
          <w:szCs w:val="26"/>
        </w:rPr>
      </w:pPr>
      <w:r w:rsidRPr="000B4FD8">
        <w:rPr>
          <w:rFonts w:asciiTheme="minorHAnsi" w:hAnsiTheme="minorHAnsi" w:cstheme="minorHAnsi"/>
          <w:b/>
          <w:bCs/>
          <w:sz w:val="32"/>
          <w:szCs w:val="26"/>
        </w:rPr>
        <w:t>LMUMentoring an der Tierärztlichen Fakultät</w:t>
      </w:r>
    </w:p>
    <w:p w14:paraId="5A3AE126" w14:textId="77777777" w:rsidR="009F1C26" w:rsidRPr="00684641" w:rsidRDefault="009F1C26" w:rsidP="009F1C26">
      <w:pPr>
        <w:keepNext/>
        <w:keepLines/>
        <w:spacing w:line="240" w:lineRule="auto"/>
        <w:jc w:val="both"/>
        <w:outlineLvl w:val="1"/>
        <w:rPr>
          <w:rFonts w:asciiTheme="minorHAnsi" w:hAnsiTheme="minorHAnsi" w:cstheme="minorHAnsi"/>
        </w:rPr>
      </w:pPr>
    </w:p>
    <w:p w14:paraId="1FDC6066" w14:textId="77777777" w:rsidR="009F1C26" w:rsidRPr="00684641" w:rsidRDefault="009F1C26" w:rsidP="00684641">
      <w:pPr>
        <w:keepNext/>
        <w:keepLines/>
        <w:numPr>
          <w:ilvl w:val="1"/>
          <w:numId w:val="4"/>
        </w:numPr>
        <w:spacing w:before="240" w:after="120" w:line="240" w:lineRule="auto"/>
        <w:ind w:left="709" w:hanging="709"/>
        <w:jc w:val="both"/>
        <w:outlineLvl w:val="1"/>
        <w:rPr>
          <w:rFonts w:asciiTheme="minorHAnsi" w:hAnsiTheme="minorHAnsi" w:cstheme="minorHAnsi"/>
          <w:b/>
          <w:bCs/>
          <w:sz w:val="28"/>
          <w:szCs w:val="26"/>
        </w:rPr>
      </w:pPr>
      <w:r w:rsidRPr="00684641">
        <w:rPr>
          <w:rFonts w:asciiTheme="minorHAnsi" w:hAnsiTheme="minorHAnsi" w:cstheme="minorHAnsi"/>
          <w:b/>
          <w:bCs/>
          <w:sz w:val="28"/>
          <w:szCs w:val="26"/>
        </w:rPr>
        <w:t>Programmziele</w:t>
      </w:r>
    </w:p>
    <w:p w14:paraId="2E619DEF" w14:textId="2E723E64" w:rsidR="00684641" w:rsidRPr="00577BB6" w:rsidRDefault="009F1C26" w:rsidP="009F1C26">
      <w:pPr>
        <w:ind w:left="720"/>
        <w:contextualSpacing/>
        <w:jc w:val="both"/>
        <w:rPr>
          <w:rFonts w:asciiTheme="minorHAnsi" w:hAnsiTheme="minorHAnsi" w:cstheme="minorHAnsi"/>
        </w:rPr>
      </w:pPr>
      <w:r w:rsidRPr="00684641">
        <w:rPr>
          <w:rFonts w:asciiTheme="minorHAnsi" w:hAnsiTheme="minorHAnsi" w:cstheme="minorHAnsi"/>
        </w:rPr>
        <w:t xml:space="preserve">Das 08LMUMentoring-Programm an der Tierärztlichen Fakultät zielt darauf ab, exzellenten Wissenschaftsnachwuchs </w:t>
      </w:r>
      <w:r w:rsidR="00577BB6" w:rsidRPr="00577BB6">
        <w:rPr>
          <w:rFonts w:asciiTheme="minorHAnsi" w:hAnsiTheme="minorHAnsi" w:cstheme="minorHAnsi"/>
        </w:rPr>
        <w:t xml:space="preserve">der Tierärztlichen Fakultät </w:t>
      </w:r>
      <w:r w:rsidRPr="00684641">
        <w:rPr>
          <w:rFonts w:asciiTheme="minorHAnsi" w:hAnsiTheme="minorHAnsi" w:cstheme="minorHAnsi"/>
        </w:rPr>
        <w:t xml:space="preserve">zur Professur zu ermutigen und auf dem Weg </w:t>
      </w:r>
      <w:r w:rsidRPr="00577BB6">
        <w:rPr>
          <w:rFonts w:asciiTheme="minorHAnsi" w:hAnsiTheme="minorHAnsi" w:cstheme="minorHAnsi"/>
        </w:rPr>
        <w:t xml:space="preserve">dorthin zu fördern. Zur Gewährleistung der Chancengleichheit soll das Programm einen Frauenanteil gemäß dem von der DFG empfohlenen Kaskadenmodell (LINK) berücksichtigen und so auf einen höheren Anteil von Frauen in der Professorenschaft hinwirken </w:t>
      </w:r>
    </w:p>
    <w:p w14:paraId="74B786C3" w14:textId="50349183" w:rsidR="009F1C26" w:rsidRPr="00577BB6" w:rsidRDefault="009F1C26" w:rsidP="009F1C26">
      <w:pPr>
        <w:ind w:left="720"/>
        <w:contextualSpacing/>
        <w:jc w:val="both"/>
        <w:rPr>
          <w:rFonts w:asciiTheme="minorHAnsi" w:hAnsiTheme="minorHAnsi" w:cstheme="minorHAnsi"/>
        </w:rPr>
      </w:pPr>
      <w:r w:rsidRPr="00577BB6">
        <w:rPr>
          <w:rFonts w:asciiTheme="minorHAnsi" w:hAnsiTheme="minorHAnsi" w:cstheme="minorHAnsi"/>
        </w:rPr>
        <w:t>(</w:t>
      </w:r>
      <w:hyperlink r:id="rId7" w:history="1">
        <w:r w:rsidR="00684641" w:rsidRPr="00577BB6">
          <w:rPr>
            <w:rStyle w:val="Hyperlink"/>
            <w:rFonts w:asciiTheme="minorHAnsi" w:hAnsiTheme="minorHAnsi" w:cstheme="minorHAnsi"/>
            <w:i/>
          </w:rPr>
          <w:t>http://www.dfg.de/foerderung/grundlagen_rahmenbedingungen/chancengleichheit/forschungsorietierte_standards/</w:t>
        </w:r>
      </w:hyperlink>
      <w:r w:rsidRPr="00577BB6">
        <w:rPr>
          <w:rFonts w:asciiTheme="minorHAnsi" w:hAnsiTheme="minorHAnsi" w:cstheme="minorHAnsi"/>
          <w:i/>
        </w:rPr>
        <w:t>)</w:t>
      </w:r>
      <w:r w:rsidRPr="00577BB6">
        <w:rPr>
          <w:rFonts w:asciiTheme="minorHAnsi" w:hAnsiTheme="minorHAnsi" w:cstheme="minorHAnsi"/>
        </w:rPr>
        <w:t>.</w:t>
      </w:r>
      <w:r w:rsidR="00387954" w:rsidRPr="00577BB6">
        <w:rPr>
          <w:rFonts w:asciiTheme="minorHAnsi" w:hAnsiTheme="minorHAnsi" w:cstheme="minorHAnsi"/>
        </w:rPr>
        <w:t xml:space="preserve"> </w:t>
      </w:r>
      <w:r w:rsidRPr="00577BB6">
        <w:rPr>
          <w:rFonts w:asciiTheme="minorHAnsi" w:hAnsiTheme="minorHAnsi" w:cstheme="minorHAnsi"/>
        </w:rPr>
        <w:t xml:space="preserve">Zudem soll das Programm langfristig dazu führen, die Diversität geeigneter Bewerberinnen und Bewerber um Professuren zu steigern. </w:t>
      </w:r>
    </w:p>
    <w:p w14:paraId="3FB9DF1A" w14:textId="77777777" w:rsidR="009F1C26" w:rsidRPr="00577BB6" w:rsidRDefault="009F1C26" w:rsidP="009F1C26">
      <w:pPr>
        <w:ind w:left="720"/>
        <w:contextualSpacing/>
        <w:jc w:val="both"/>
        <w:rPr>
          <w:rFonts w:asciiTheme="minorHAnsi" w:hAnsiTheme="minorHAnsi" w:cstheme="minorHAnsi"/>
        </w:rPr>
      </w:pPr>
      <w:r w:rsidRPr="00577BB6">
        <w:rPr>
          <w:rFonts w:asciiTheme="minorHAnsi" w:hAnsiTheme="minorHAnsi" w:cstheme="minorHAnsi"/>
        </w:rPr>
        <w:t>Ziel des Programms ist insbesondere, eine langfristige Förderbeziehung zu einer Mentorin oder einem Mentor anzustoßen, zu etablieren und zu stärken. Angestrebt wird eine hohe öffentliche Sichtbarkeit der Mentees, die so allgemein als Vorbild für den Wissenschaftsnachwuchs wirken.</w:t>
      </w:r>
    </w:p>
    <w:p w14:paraId="2DA6924F" w14:textId="6A47AB8D" w:rsidR="00387954" w:rsidRPr="00577BB6" w:rsidRDefault="00387954" w:rsidP="009F1C26">
      <w:pPr>
        <w:ind w:left="720"/>
        <w:contextualSpacing/>
        <w:jc w:val="both"/>
        <w:rPr>
          <w:rFonts w:asciiTheme="minorHAnsi" w:hAnsiTheme="minorHAnsi" w:cstheme="minorHAnsi"/>
        </w:rPr>
      </w:pPr>
      <w:r w:rsidRPr="00577BB6">
        <w:rPr>
          <w:rFonts w:asciiTheme="minorHAnsi" w:hAnsiTheme="minorHAnsi" w:cstheme="minorHAnsi"/>
        </w:rPr>
        <w:t>Das 08LMU-Mentoring führt das LMUMentoring excellence der LMU fakultätsintern in modifizierter Weise fort. Einige Formblätter wurden aus dem bisherigen Programm übernommen.</w:t>
      </w:r>
    </w:p>
    <w:p w14:paraId="58B0B073" w14:textId="77777777" w:rsidR="009F1C26" w:rsidRPr="00684641" w:rsidRDefault="009F1C26" w:rsidP="009F1C26">
      <w:pPr>
        <w:ind w:left="720"/>
        <w:contextualSpacing/>
        <w:jc w:val="both"/>
        <w:rPr>
          <w:rFonts w:asciiTheme="minorHAnsi" w:hAnsiTheme="minorHAnsi" w:cstheme="minorHAnsi"/>
        </w:rPr>
      </w:pPr>
    </w:p>
    <w:p w14:paraId="0D6E1AF9" w14:textId="77777777" w:rsidR="009F1C26" w:rsidRPr="00684641" w:rsidRDefault="009F1C26" w:rsidP="00684641">
      <w:pPr>
        <w:keepNext/>
        <w:keepLines/>
        <w:numPr>
          <w:ilvl w:val="1"/>
          <w:numId w:val="4"/>
        </w:numPr>
        <w:spacing w:before="240" w:after="120" w:line="240" w:lineRule="auto"/>
        <w:ind w:left="709" w:hanging="709"/>
        <w:jc w:val="both"/>
        <w:outlineLvl w:val="1"/>
        <w:rPr>
          <w:rFonts w:asciiTheme="minorHAnsi" w:hAnsiTheme="minorHAnsi" w:cstheme="minorHAnsi"/>
          <w:b/>
          <w:bCs/>
          <w:sz w:val="28"/>
          <w:szCs w:val="26"/>
        </w:rPr>
      </w:pPr>
      <w:r w:rsidRPr="00684641">
        <w:rPr>
          <w:rFonts w:asciiTheme="minorHAnsi" w:hAnsiTheme="minorHAnsi" w:cstheme="minorHAnsi"/>
          <w:b/>
          <w:bCs/>
          <w:sz w:val="28"/>
          <w:szCs w:val="26"/>
        </w:rPr>
        <w:t>Aufnahmeverfahren</w:t>
      </w:r>
    </w:p>
    <w:p w14:paraId="540D8B36" w14:textId="77777777" w:rsidR="009F1C26" w:rsidRPr="00684641" w:rsidRDefault="009F1C26" w:rsidP="00AA7095">
      <w:pPr>
        <w:pStyle w:val="berschrift3"/>
        <w:keepLines/>
        <w:numPr>
          <w:ilvl w:val="2"/>
          <w:numId w:val="4"/>
        </w:numPr>
        <w:spacing w:before="200" w:after="120" w:line="240" w:lineRule="auto"/>
        <w:jc w:val="both"/>
        <w:rPr>
          <w:rFonts w:asciiTheme="minorHAnsi" w:hAnsiTheme="minorHAnsi" w:cstheme="minorHAnsi"/>
        </w:rPr>
      </w:pPr>
      <w:r w:rsidRPr="00684641">
        <w:rPr>
          <w:rFonts w:asciiTheme="minorHAnsi" w:hAnsiTheme="minorHAnsi" w:cstheme="minorHAnsi"/>
        </w:rPr>
        <w:t>08LMUMentoring-Kommission der Tierärztlichen Fakultät</w:t>
      </w:r>
    </w:p>
    <w:p w14:paraId="26A27EC5" w14:textId="3E7FE2DF" w:rsidR="00AA7095" w:rsidRPr="00684641" w:rsidRDefault="009F1C26" w:rsidP="00AA7095">
      <w:pPr>
        <w:ind w:left="708"/>
        <w:jc w:val="both"/>
        <w:rPr>
          <w:rFonts w:asciiTheme="minorHAnsi" w:hAnsiTheme="minorHAnsi" w:cstheme="minorHAnsi"/>
        </w:rPr>
      </w:pPr>
      <w:r w:rsidRPr="00684641">
        <w:rPr>
          <w:rFonts w:asciiTheme="minorHAnsi" w:hAnsiTheme="minorHAnsi" w:cstheme="minorHAnsi"/>
        </w:rPr>
        <w:t>Über die Aufnahme ins Programm entscheidet die 08LMUMentoring-Kommission. Die Kommission setzt sich zusammen aus den Amts- und Funktionsmitgliedern (Dekan, Forschungsdekan und Fakultätsfrauen</w:t>
      </w:r>
      <w:r w:rsidRPr="00684641">
        <w:rPr>
          <w:rFonts w:asciiTheme="minorHAnsi" w:hAnsiTheme="minorHAnsi" w:cstheme="minorHAnsi"/>
        </w:rPr>
        <w:softHyphen/>
        <w:t xml:space="preserve">beauftragte) sowie drei vom Fakultätsrat gewählten Mitgliedern. </w:t>
      </w:r>
      <w:r w:rsidR="00577BB6" w:rsidRPr="00577BB6">
        <w:rPr>
          <w:rFonts w:asciiTheme="minorHAnsi" w:hAnsiTheme="minorHAnsi" w:cstheme="minorHAnsi"/>
        </w:rPr>
        <w:t>Es wird angestrebt, dass der Anteil an Frauen in der 08LMUMentoring-Kommission dem Anteil von Studentinnen an der Fakultät entspricht (5 Frauen:1 Mann) sollte aber ein Geschlechterverhältni</w:t>
      </w:r>
      <w:r w:rsidR="00577BB6">
        <w:rPr>
          <w:rFonts w:asciiTheme="minorHAnsi" w:hAnsiTheme="minorHAnsi" w:cstheme="minorHAnsi"/>
        </w:rPr>
        <w:t>s von 4:2 nicht unterschreiten</w:t>
      </w:r>
      <w:r w:rsidRPr="00684641">
        <w:rPr>
          <w:rFonts w:asciiTheme="minorHAnsi" w:hAnsiTheme="minorHAnsi" w:cstheme="minorHAnsi"/>
        </w:rPr>
        <w:t xml:space="preserve">. </w:t>
      </w:r>
    </w:p>
    <w:p w14:paraId="42E6117A" w14:textId="77777777" w:rsidR="009F1C26" w:rsidRPr="00684641" w:rsidRDefault="009F1C26" w:rsidP="00AA7095">
      <w:pPr>
        <w:keepNext/>
        <w:keepLines/>
        <w:numPr>
          <w:ilvl w:val="2"/>
          <w:numId w:val="4"/>
        </w:numPr>
        <w:spacing w:before="360" w:after="120" w:line="240" w:lineRule="auto"/>
        <w:jc w:val="both"/>
        <w:outlineLvl w:val="2"/>
        <w:rPr>
          <w:rFonts w:asciiTheme="minorHAnsi" w:hAnsiTheme="minorHAnsi" w:cstheme="minorHAnsi"/>
          <w:b/>
          <w:bCs/>
          <w:sz w:val="26"/>
          <w:szCs w:val="26"/>
        </w:rPr>
      </w:pPr>
      <w:bookmarkStart w:id="0" w:name="_Ref485989511"/>
      <w:r w:rsidRPr="00684641">
        <w:rPr>
          <w:rFonts w:asciiTheme="minorHAnsi" w:hAnsiTheme="minorHAnsi" w:cstheme="minorHAnsi"/>
          <w:b/>
          <w:bCs/>
          <w:sz w:val="26"/>
          <w:szCs w:val="26"/>
        </w:rPr>
        <w:t>Bewerbungsunterlagen</w:t>
      </w:r>
      <w:bookmarkEnd w:id="0"/>
    </w:p>
    <w:p w14:paraId="0F393ADB" w14:textId="77777777" w:rsidR="009F1C26" w:rsidRPr="00684641" w:rsidRDefault="009F1C26" w:rsidP="009F1C26">
      <w:pPr>
        <w:shd w:val="clear" w:color="auto" w:fill="FFFFFF"/>
        <w:ind w:left="708"/>
        <w:jc w:val="both"/>
        <w:rPr>
          <w:rFonts w:asciiTheme="minorHAnsi" w:hAnsiTheme="minorHAnsi" w:cstheme="minorHAnsi"/>
        </w:rPr>
      </w:pPr>
      <w:r w:rsidRPr="00684641">
        <w:rPr>
          <w:rFonts w:asciiTheme="minorHAnsi" w:hAnsiTheme="minorHAnsi" w:cstheme="minorHAnsi"/>
        </w:rPr>
        <w:t xml:space="preserve">Folgende Unterlagen sind für die Bewerbung erforderlich: Motivationsschreiben, Lebenslauf, Publikationsliste (peer review) mit Angabe des h-Faktors und des kumulativen Impact-Faktors, Liste der Tagungsbeiträge, Auflistung der eingeworbenen Drittmittel, Gutachten der Mentorin oder des Mentors (bei noch nicht benannten Mentoren Gutachten eines anderen Hochschullehrers), Erklärung über Pflege- und Kinderbetreuungszeiten (Formblatt 1). </w:t>
      </w:r>
    </w:p>
    <w:p w14:paraId="2193AC9E" w14:textId="77777777" w:rsidR="009F1C26" w:rsidRPr="00684641" w:rsidRDefault="009F1C26" w:rsidP="00AA7095">
      <w:pPr>
        <w:keepNext/>
        <w:keepLines/>
        <w:numPr>
          <w:ilvl w:val="2"/>
          <w:numId w:val="4"/>
        </w:numPr>
        <w:shd w:val="clear" w:color="auto" w:fill="FFFFFF"/>
        <w:spacing w:before="360" w:after="120" w:line="240" w:lineRule="auto"/>
        <w:jc w:val="both"/>
        <w:outlineLvl w:val="2"/>
        <w:rPr>
          <w:rFonts w:asciiTheme="minorHAnsi" w:hAnsiTheme="minorHAnsi" w:cstheme="minorHAnsi"/>
          <w:b/>
          <w:bCs/>
          <w:sz w:val="26"/>
          <w:szCs w:val="26"/>
        </w:rPr>
      </w:pPr>
      <w:r w:rsidRPr="00684641">
        <w:rPr>
          <w:rFonts w:asciiTheme="minorHAnsi" w:hAnsiTheme="minorHAnsi" w:cstheme="minorHAnsi"/>
          <w:b/>
          <w:bCs/>
          <w:sz w:val="26"/>
          <w:szCs w:val="26"/>
        </w:rPr>
        <w:t>Ablauf</w:t>
      </w:r>
    </w:p>
    <w:p w14:paraId="3951E0B2" w14:textId="6F50F4F3" w:rsidR="009F1C26" w:rsidRPr="00684641" w:rsidRDefault="009F1C26" w:rsidP="009F1C26">
      <w:pPr>
        <w:shd w:val="clear" w:color="auto" w:fill="FFFFFF"/>
        <w:spacing w:before="120" w:after="120"/>
        <w:ind w:left="709"/>
        <w:jc w:val="both"/>
        <w:rPr>
          <w:rFonts w:asciiTheme="minorHAnsi" w:hAnsiTheme="minorHAnsi" w:cstheme="minorHAnsi"/>
        </w:rPr>
      </w:pPr>
      <w:r w:rsidRPr="00684641">
        <w:rPr>
          <w:rFonts w:asciiTheme="minorHAnsi" w:hAnsiTheme="minorHAnsi" w:cstheme="minorHAnsi"/>
        </w:rPr>
        <w:t xml:space="preserve">Die Neuaufnahme in das 08LMUMentoring-Programm ist einmal je Semester möglich. Die Aufnahme erfolgt in einem zweistufigen Verfahren. Innerhalb in der Regel von zwei Wochen nach Eingang der Unterlagen (s. Punkt </w:t>
      </w:r>
      <w:r w:rsidRPr="00684641">
        <w:rPr>
          <w:rFonts w:asciiTheme="minorHAnsi" w:hAnsiTheme="minorHAnsi" w:cstheme="minorHAnsi"/>
        </w:rPr>
        <w:fldChar w:fldCharType="begin"/>
      </w:r>
      <w:r w:rsidRPr="00684641">
        <w:rPr>
          <w:rFonts w:asciiTheme="minorHAnsi" w:hAnsiTheme="minorHAnsi" w:cstheme="minorHAnsi"/>
        </w:rPr>
        <w:instrText xml:space="preserve"> REF _Ref485989511 \r \h  \* MERGEFORMAT </w:instrText>
      </w:r>
      <w:r w:rsidRPr="00684641">
        <w:rPr>
          <w:rFonts w:asciiTheme="minorHAnsi" w:hAnsiTheme="minorHAnsi" w:cstheme="minorHAnsi"/>
        </w:rPr>
      </w:r>
      <w:r w:rsidRPr="00684641">
        <w:rPr>
          <w:rFonts w:asciiTheme="minorHAnsi" w:hAnsiTheme="minorHAnsi" w:cstheme="minorHAnsi"/>
        </w:rPr>
        <w:fldChar w:fldCharType="separate"/>
      </w:r>
      <w:r w:rsidR="00EC1DB9">
        <w:rPr>
          <w:rFonts w:asciiTheme="minorHAnsi" w:hAnsiTheme="minorHAnsi" w:cstheme="minorHAnsi"/>
        </w:rPr>
        <w:t>2.2</w:t>
      </w:r>
      <w:r w:rsidRPr="00684641">
        <w:rPr>
          <w:rFonts w:asciiTheme="minorHAnsi" w:hAnsiTheme="minorHAnsi" w:cstheme="minorHAnsi"/>
        </w:rPr>
        <w:fldChar w:fldCharType="end"/>
      </w:r>
      <w:r w:rsidRPr="00684641">
        <w:rPr>
          <w:rFonts w:asciiTheme="minorHAnsi" w:hAnsiTheme="minorHAnsi" w:cstheme="minorHAnsi"/>
        </w:rPr>
        <w:t xml:space="preserve">) werden die Unterlagen von allen Mitgliedern der 08LMUMentoring-Kommission einzeln anhand eines Formblatts (Formblatt 2) beurteilt. Aussichtsreichen Kandidatinnen und Kandidaten wird als erste Fördermaßnahme die Teilnahme an einem fakultätsöffentlichen Nachwuchs-Symposium ermöglicht, das an Berufungsverfahren angelehnt ist, jedoch im Sinne eines Trainings ausgestaltet wird. Eine Teilnahme der bereits von den Mentees benannten Mentorinnen und Mentoren ist willkommen. Mit den potentiellen </w:t>
      </w:r>
      <w:r w:rsidRPr="00684641">
        <w:rPr>
          <w:rFonts w:asciiTheme="minorHAnsi" w:hAnsiTheme="minorHAnsi" w:cstheme="minorHAnsi"/>
        </w:rPr>
        <w:lastRenderedPageBreak/>
        <w:t xml:space="preserve">Mentees führt die 08LMUMentoring-Kommission im Anschluss ein Perspektivgespräch, um den bestmöglichen Zeitpunkt einer Aufnahme ins Programm zu entscheiden. Der Bescheid über die Annahme oder Ablehnung der Aufnahme in das 08LMUMentoring-Programm erfolgt schriftlich im Allgemeinen bis spätestens zwei Wochen nach dem Perspektivgespräch. Bei Uneinigkeit über die Einladung bzw. über die Programmaufnahme gilt Mehrheitsentscheid. </w:t>
      </w:r>
      <w:r w:rsidR="00577BB6" w:rsidRPr="00577BB6">
        <w:rPr>
          <w:rFonts w:asciiTheme="minorHAnsi" w:hAnsiTheme="minorHAnsi" w:cstheme="minorHAnsi"/>
        </w:rPr>
        <w:t>Gründe für die Ablehnung sind schriftli</w:t>
      </w:r>
      <w:r w:rsidR="00577BB6">
        <w:rPr>
          <w:rFonts w:asciiTheme="minorHAnsi" w:hAnsiTheme="minorHAnsi" w:cstheme="minorHAnsi"/>
        </w:rPr>
        <w:t>ch zu dokumentieren und der Mentorin/</w:t>
      </w:r>
      <w:r w:rsidR="00577BB6" w:rsidRPr="00577BB6">
        <w:rPr>
          <w:rFonts w:asciiTheme="minorHAnsi" w:hAnsiTheme="minorHAnsi" w:cstheme="minorHAnsi"/>
        </w:rPr>
        <w:t>dem Mentor (Gutachterin/Gutacht</w:t>
      </w:r>
      <w:r w:rsidR="00577BB6">
        <w:rPr>
          <w:rFonts w:asciiTheme="minorHAnsi" w:hAnsiTheme="minorHAnsi" w:cstheme="minorHAnsi"/>
        </w:rPr>
        <w:t>er) und der/dem Mentee mitzutei</w:t>
      </w:r>
      <w:r w:rsidR="00577BB6" w:rsidRPr="00577BB6">
        <w:rPr>
          <w:rFonts w:asciiTheme="minorHAnsi" w:hAnsiTheme="minorHAnsi" w:cstheme="minorHAnsi"/>
        </w:rPr>
        <w:t>len.</w:t>
      </w:r>
    </w:p>
    <w:p w14:paraId="1525E874" w14:textId="77777777" w:rsidR="009F1C26" w:rsidRPr="00684641" w:rsidRDefault="009F1C26" w:rsidP="00AA7095">
      <w:pPr>
        <w:keepNext/>
        <w:keepLines/>
        <w:numPr>
          <w:ilvl w:val="2"/>
          <w:numId w:val="4"/>
        </w:numPr>
        <w:spacing w:before="360" w:after="120" w:line="240" w:lineRule="auto"/>
        <w:jc w:val="both"/>
        <w:outlineLvl w:val="2"/>
        <w:rPr>
          <w:rFonts w:asciiTheme="minorHAnsi" w:hAnsiTheme="minorHAnsi" w:cstheme="minorHAnsi"/>
          <w:b/>
          <w:bCs/>
          <w:sz w:val="26"/>
          <w:szCs w:val="26"/>
        </w:rPr>
      </w:pPr>
      <w:r w:rsidRPr="00684641">
        <w:rPr>
          <w:rFonts w:asciiTheme="minorHAnsi" w:hAnsiTheme="minorHAnsi" w:cstheme="minorHAnsi"/>
          <w:b/>
          <w:bCs/>
          <w:sz w:val="26"/>
          <w:szCs w:val="26"/>
        </w:rPr>
        <w:t>Auswahl und Rekrutierung</w:t>
      </w:r>
    </w:p>
    <w:p w14:paraId="6A53712C" w14:textId="77777777" w:rsidR="009F1C26" w:rsidRPr="00684641" w:rsidRDefault="009F1C26" w:rsidP="00EC1DB9">
      <w:pPr>
        <w:keepNext/>
        <w:numPr>
          <w:ilvl w:val="3"/>
          <w:numId w:val="4"/>
        </w:numPr>
        <w:spacing w:before="240" w:after="120" w:line="240" w:lineRule="auto"/>
        <w:ind w:left="709" w:hanging="709"/>
        <w:jc w:val="both"/>
        <w:outlineLvl w:val="3"/>
        <w:rPr>
          <w:rFonts w:asciiTheme="minorHAnsi" w:hAnsiTheme="minorHAnsi" w:cstheme="minorHAnsi"/>
          <w:b/>
          <w:bCs/>
          <w:szCs w:val="28"/>
        </w:rPr>
      </w:pPr>
      <w:r w:rsidRPr="00684641">
        <w:rPr>
          <w:rFonts w:asciiTheme="minorHAnsi" w:hAnsiTheme="minorHAnsi" w:cstheme="minorHAnsi"/>
          <w:b/>
          <w:bCs/>
          <w:szCs w:val="28"/>
        </w:rPr>
        <w:t>Auswahlkriterien</w:t>
      </w:r>
    </w:p>
    <w:p w14:paraId="1E298652" w14:textId="77777777" w:rsidR="009F1C26" w:rsidRPr="00684641" w:rsidRDefault="009F1C26" w:rsidP="009F1C26">
      <w:pPr>
        <w:ind w:left="708"/>
        <w:jc w:val="both"/>
        <w:rPr>
          <w:rFonts w:asciiTheme="minorHAnsi" w:hAnsiTheme="minorHAnsi" w:cstheme="minorHAnsi"/>
        </w:rPr>
      </w:pPr>
      <w:r w:rsidRPr="00684641">
        <w:rPr>
          <w:rFonts w:asciiTheme="minorHAnsi" w:hAnsiTheme="minorHAnsi" w:cstheme="minorHAnsi"/>
        </w:rPr>
        <w:t>Als Auswahlkriterien werden die wissenschaftliche Exzellenz und ein überzeugender Karriereplan der förderwürdigen Personen herangezogen; eine aus dem Gutachten erkennbare hohe persönliche Fördermotivation der Mentorin bzw. des Mentors ist angemessen zu gewichten. Zur Beurteilung der Förderwürdigkeit werden die LMU-weit angestrebte Erhöhung des Frauenanteils auf Professuren – auf der Grundlage der gesetzlichen Vorgaben zur Geschlechtergerechtigkeit (EU-Recht RL 2000/78EG; AEUV 2007/2009 Art. 8; GG Art. 3 Abs. 2; BayHSchG Art. 4 Abs. 1) – und die Gewährleistung von Diversität herangezogen</w:t>
      </w:r>
      <w:r w:rsidRPr="00684641">
        <w:rPr>
          <w:rFonts w:asciiTheme="minorHAnsi" w:hAnsiTheme="minorHAnsi" w:cstheme="minorHAnsi"/>
          <w:color w:val="C00000"/>
        </w:rPr>
        <w:t>.</w:t>
      </w:r>
      <w:r w:rsidRPr="00684641">
        <w:rPr>
          <w:rFonts w:asciiTheme="minorHAnsi" w:hAnsiTheme="minorHAnsi" w:cstheme="minorHAnsi"/>
        </w:rPr>
        <w:t xml:space="preserve"> Die Beurteilung der wissenschaftlichen Exzellenz erfolgt auf Grundlage des Fachgebiets, der Qualifikationsstufe und des Wissenschaftsalters.</w:t>
      </w:r>
    </w:p>
    <w:p w14:paraId="15BB39D4" w14:textId="77777777" w:rsidR="00684641" w:rsidRDefault="009F1C26" w:rsidP="009F1C26">
      <w:pPr>
        <w:ind w:left="709"/>
        <w:contextualSpacing/>
        <w:jc w:val="both"/>
        <w:rPr>
          <w:rFonts w:asciiTheme="minorHAnsi" w:hAnsiTheme="minorHAnsi" w:cstheme="minorHAnsi"/>
        </w:rPr>
      </w:pPr>
      <w:r w:rsidRPr="00684641">
        <w:rPr>
          <w:rFonts w:asciiTheme="minorHAnsi" w:hAnsiTheme="minorHAnsi" w:cstheme="minorHAnsi"/>
        </w:rPr>
        <w:t>Um die wissenschaftlichen Leistungen angemessen zu beurteilen, müssen auch individuelle Lebensumstände Beachtung finden. Wissenschaftliche Chancengerechtigkeit bedeutet hier, unvermeidbare Verzögerungen im wissenschaftlichen Werdegang antragstellender Personen angemessen zu deren Gunsten zu berücksichtigen. Um eine hohe Diversität unter den Teilnehmenden zu gewährleisten, ist somit bei der Einschätzung des wissenschaftlichen Potentials anhand Formblatt 2 ggf. ein angemessener Ausgleich für strukturelle Benachteiligungen (z. B. Migrationshintergrund, nichtakademisches Elternhaus, Behinderung, Familienverantwortung etc.) zu berücksichtigen. Zu unvermeidbaren Verzögerungen einer wissenschaftlichen Karriere können insbesondere die folgenden Umstände führen: Schwangerschaft und Geburt, Kinderbetreuung; Betreuung von pflegebedürftigen Angehörigen; Behinderung oder chronische Erkrankung, lange schwere Krankheit; Wehr- oder Zivildienst, vgl.</w:t>
      </w:r>
    </w:p>
    <w:p w14:paraId="3A12A964" w14:textId="6E969AE9" w:rsidR="009F1C26" w:rsidRDefault="00E15E9D" w:rsidP="009F1C26">
      <w:pPr>
        <w:ind w:left="709"/>
        <w:contextualSpacing/>
        <w:jc w:val="both"/>
        <w:rPr>
          <w:rStyle w:val="Hyperlink"/>
          <w:rFonts w:asciiTheme="minorHAnsi" w:hAnsiTheme="minorHAnsi" w:cstheme="minorHAnsi"/>
          <w:sz w:val="20"/>
          <w:szCs w:val="20"/>
        </w:rPr>
      </w:pPr>
      <w:hyperlink r:id="rId8" w:history="1">
        <w:r w:rsidR="00684641" w:rsidRPr="00B87CBF">
          <w:rPr>
            <w:rStyle w:val="Hyperlink"/>
            <w:rFonts w:asciiTheme="minorHAnsi" w:hAnsiTheme="minorHAnsi" w:cstheme="minorHAnsi"/>
            <w:sz w:val="20"/>
            <w:szCs w:val="20"/>
          </w:rPr>
          <w:t>http://www.dfg.de/foerderung/grundlagen_rahmenbedingungen/diversity_wissenschaft/diversity_allg/index.html</w:t>
        </w:r>
      </w:hyperlink>
      <w:r w:rsidR="009F1C26" w:rsidRPr="00684641">
        <w:rPr>
          <w:rStyle w:val="Hyperlink"/>
          <w:rFonts w:asciiTheme="minorHAnsi" w:hAnsiTheme="minorHAnsi" w:cstheme="minorHAnsi"/>
          <w:sz w:val="20"/>
          <w:szCs w:val="20"/>
        </w:rPr>
        <w:t>).</w:t>
      </w:r>
    </w:p>
    <w:p w14:paraId="22C1C399" w14:textId="22A63BEA" w:rsidR="00E80FFF" w:rsidRDefault="00E80FFF" w:rsidP="009F1C26">
      <w:pPr>
        <w:ind w:left="709"/>
        <w:contextualSpacing/>
        <w:jc w:val="both"/>
        <w:rPr>
          <w:rStyle w:val="Hyperlink"/>
          <w:rFonts w:asciiTheme="minorHAnsi" w:hAnsiTheme="minorHAnsi" w:cstheme="minorHAnsi"/>
          <w:sz w:val="20"/>
          <w:szCs w:val="20"/>
        </w:rPr>
      </w:pPr>
    </w:p>
    <w:p w14:paraId="248A19A3" w14:textId="216F520D" w:rsidR="00E80FFF" w:rsidRPr="00E222E5" w:rsidRDefault="00E80FFF" w:rsidP="00EC1DB9">
      <w:pPr>
        <w:keepNext/>
        <w:numPr>
          <w:ilvl w:val="3"/>
          <w:numId w:val="4"/>
        </w:numPr>
        <w:spacing w:before="240" w:after="120" w:line="240" w:lineRule="auto"/>
        <w:ind w:left="709" w:hanging="709"/>
        <w:jc w:val="both"/>
        <w:outlineLvl w:val="3"/>
        <w:rPr>
          <w:rFonts w:asciiTheme="minorHAnsi" w:hAnsiTheme="minorHAnsi" w:cstheme="minorHAnsi"/>
          <w:b/>
          <w:bCs/>
          <w:szCs w:val="28"/>
          <w:highlight w:val="yellow"/>
        </w:rPr>
      </w:pPr>
      <w:r w:rsidRPr="00E222E5">
        <w:rPr>
          <w:rFonts w:asciiTheme="minorHAnsi" w:hAnsiTheme="minorHAnsi" w:cstheme="minorHAnsi"/>
          <w:b/>
          <w:bCs/>
          <w:szCs w:val="28"/>
          <w:highlight w:val="yellow"/>
        </w:rPr>
        <w:t>Short-Cut durch DFG-Antrag</w:t>
      </w:r>
    </w:p>
    <w:p w14:paraId="4CDADBB9" w14:textId="289609AA" w:rsidR="00E80FFF" w:rsidRDefault="00E80FFF" w:rsidP="00E80FFF">
      <w:r w:rsidRPr="00E222E5">
        <w:rPr>
          <w:highlight w:val="yellow"/>
        </w:rPr>
        <w:t>Wer einen DFG-Antrag stellt, der von einem Mitglied der Mentoring-Kommission mit eigener DFG-Antragserfahrung als akzeptabel beurteilt wird, kann ohne weitere Begutachtung im „Short-Cut“ in das Mentoring-Programm aufgenommen werden, sofern er promoviert ist und die geforderten Mentoren nachweist. Der Antragsteller erhält unabhängig vom Ausgang der Beurteilung durch die DFG 5000 Euro. Diese stehen ihm persönlich für Forschungszwecke, Dienstreisen usw. zur Verfügung. Die Mitglieder der Kommission mit DFG-Erfahrung können auf Wunsch bei der Antragstellung behilflich sein. Dies schließt eine spätere interne Begutachtung nicht aus.</w:t>
      </w:r>
      <w:r w:rsidR="00D34E53" w:rsidRPr="00E222E5">
        <w:rPr>
          <w:highlight w:val="yellow"/>
        </w:rPr>
        <w:t xml:space="preserve"> </w:t>
      </w:r>
      <w:r w:rsidRPr="00E222E5">
        <w:rPr>
          <w:highlight w:val="yellow"/>
        </w:rPr>
        <w:t>Die 5000 Euro können auch zur Überbrückung von Lücken zwischen Dienstverhältnissen als Personalmittel verwendet werden. Sofern mehr Anträge eingehen als durch die vorhandenen Mittel abgedeckt werden können entscheidet die Reihenfolge des Eingangs</w:t>
      </w:r>
      <w:r w:rsidR="00E222E5" w:rsidRPr="00E222E5">
        <w:rPr>
          <w:highlight w:val="yellow"/>
        </w:rPr>
        <w:t xml:space="preserve">(Nachweis der erfolgten Antragstellung durch Quittung aus elan). </w:t>
      </w:r>
      <w:r w:rsidR="00B9446C" w:rsidRPr="00B9446C">
        <w:rPr>
          <w:highlight w:val="cyan"/>
        </w:rPr>
        <w:t xml:space="preserve">Die Antragsteller, die nicht berücksichtigt werden können, werden dann im Folgejahr Geld erhalten, ohne dass sie einen weiteren </w:t>
      </w:r>
      <w:r w:rsidR="00B9446C">
        <w:rPr>
          <w:highlight w:val="cyan"/>
        </w:rPr>
        <w:t>A</w:t>
      </w:r>
      <w:r w:rsidR="00B9446C" w:rsidRPr="00B9446C">
        <w:rPr>
          <w:highlight w:val="cyan"/>
        </w:rPr>
        <w:t>ntrag stellen. Außerdem werden sie in das Mentoring-Programm aufgenommen.</w:t>
      </w:r>
      <w:r w:rsidR="00B9446C">
        <w:t xml:space="preserve"> </w:t>
      </w:r>
      <w:r w:rsidR="00B9446C" w:rsidRPr="00B9446C">
        <w:rPr>
          <w:highlight w:val="cyan"/>
        </w:rPr>
        <w:t xml:space="preserve">Die Überarbeitung </w:t>
      </w:r>
      <w:r w:rsidR="00B9446C" w:rsidRPr="00B9446C">
        <w:rPr>
          <w:highlight w:val="cyan"/>
        </w:rPr>
        <w:t xml:space="preserve">und Wiedereinreichung </w:t>
      </w:r>
      <w:r w:rsidR="00B9446C" w:rsidRPr="00B9446C">
        <w:rPr>
          <w:highlight w:val="cyan"/>
        </w:rPr>
        <w:t>eines abgelehnten Antrags wird mit 2500 Euro honoriert.</w:t>
      </w:r>
      <w:r w:rsidR="00B9446C">
        <w:t xml:space="preserve"> </w:t>
      </w:r>
      <w:bookmarkStart w:id="1" w:name="_GoBack"/>
      <w:bookmarkEnd w:id="1"/>
    </w:p>
    <w:p w14:paraId="46AB724C" w14:textId="07C6C63B" w:rsidR="00E80FFF" w:rsidRDefault="00E80FFF" w:rsidP="00E80FFF">
      <w:pPr>
        <w:keepNext/>
        <w:spacing w:before="240" w:after="120" w:line="240" w:lineRule="auto"/>
        <w:ind w:left="709"/>
        <w:jc w:val="both"/>
        <w:outlineLvl w:val="3"/>
        <w:rPr>
          <w:rFonts w:asciiTheme="minorHAnsi" w:hAnsiTheme="minorHAnsi" w:cstheme="minorHAnsi"/>
          <w:b/>
          <w:bCs/>
          <w:szCs w:val="28"/>
        </w:rPr>
      </w:pPr>
      <w:r>
        <w:rPr>
          <w:rFonts w:asciiTheme="minorHAnsi" w:hAnsiTheme="minorHAnsi" w:cstheme="minorHAnsi"/>
        </w:rPr>
        <w:lastRenderedPageBreak/>
        <w:t xml:space="preserve">                </w:t>
      </w:r>
    </w:p>
    <w:p w14:paraId="78F9449B" w14:textId="755DA4D9" w:rsidR="009F1C26" w:rsidRPr="00684641" w:rsidRDefault="009F1C26" w:rsidP="00EC1DB9">
      <w:pPr>
        <w:keepNext/>
        <w:numPr>
          <w:ilvl w:val="3"/>
          <w:numId w:val="4"/>
        </w:numPr>
        <w:spacing w:before="240" w:after="120" w:line="240" w:lineRule="auto"/>
        <w:ind w:left="709" w:hanging="709"/>
        <w:jc w:val="both"/>
        <w:outlineLvl w:val="3"/>
        <w:rPr>
          <w:rFonts w:asciiTheme="minorHAnsi" w:hAnsiTheme="minorHAnsi" w:cstheme="minorHAnsi"/>
          <w:b/>
          <w:bCs/>
          <w:szCs w:val="28"/>
        </w:rPr>
      </w:pPr>
      <w:r w:rsidRPr="00684641">
        <w:rPr>
          <w:rFonts w:asciiTheme="minorHAnsi" w:hAnsiTheme="minorHAnsi" w:cstheme="minorHAnsi"/>
          <w:b/>
          <w:bCs/>
          <w:szCs w:val="28"/>
        </w:rPr>
        <w:t>Rekrutierung</w:t>
      </w:r>
    </w:p>
    <w:p w14:paraId="600A44EF" w14:textId="6D8B800A" w:rsidR="00684641" w:rsidRDefault="009F1C26" w:rsidP="00EC1DB9">
      <w:pPr>
        <w:ind w:left="709"/>
        <w:contextualSpacing/>
        <w:jc w:val="both"/>
        <w:rPr>
          <w:rFonts w:asciiTheme="minorHAnsi" w:hAnsiTheme="minorHAnsi" w:cstheme="minorHAnsi"/>
        </w:rPr>
      </w:pPr>
      <w:r w:rsidRPr="00684641">
        <w:rPr>
          <w:rFonts w:asciiTheme="minorHAnsi" w:hAnsiTheme="minorHAnsi" w:cstheme="minorHAnsi"/>
        </w:rPr>
        <w:t>Unterrepräsentierte Personenkreise sollen gezielt angesprochen werden; auf die Berücksichtigung individueller Biographien zur Wahrung der Chancengerechtigkeit wird aktiv hingewiesen. Die Gestaltung des Rekrutierungsverfahrens richtet sich so nach den Empfehlungen des Wissenschaftsrats (vgl.</w:t>
      </w:r>
    </w:p>
    <w:p w14:paraId="0DC9E200" w14:textId="3556DA87" w:rsidR="009F1C26" w:rsidRPr="00684641" w:rsidRDefault="00E15E9D" w:rsidP="00EC1DB9">
      <w:pPr>
        <w:ind w:left="709"/>
        <w:contextualSpacing/>
        <w:jc w:val="both"/>
        <w:rPr>
          <w:rFonts w:asciiTheme="minorHAnsi" w:hAnsiTheme="minorHAnsi" w:cstheme="minorHAnsi"/>
        </w:rPr>
      </w:pPr>
      <w:hyperlink r:id="rId9" w:history="1">
        <w:r w:rsidR="00DC7777" w:rsidRPr="00684641">
          <w:rPr>
            <w:rStyle w:val="Hyperlink"/>
            <w:rFonts w:asciiTheme="minorHAnsi" w:hAnsiTheme="minorHAnsi" w:cstheme="minorHAnsi"/>
            <w:i/>
          </w:rPr>
          <w:t>https://www.wissenschaftsrat.de/download/archiv/2218-12.pdf</w:t>
        </w:r>
      </w:hyperlink>
      <w:r w:rsidR="009F1C26" w:rsidRPr="00684641">
        <w:rPr>
          <w:rFonts w:asciiTheme="minorHAnsi" w:hAnsiTheme="minorHAnsi" w:cstheme="minorHAnsi"/>
        </w:rPr>
        <w:t xml:space="preserve">, Abschnitt B II) </w:t>
      </w:r>
    </w:p>
    <w:p w14:paraId="14EFDEDD" w14:textId="77777777" w:rsidR="009F1C26" w:rsidRPr="00684641" w:rsidRDefault="009F1C26" w:rsidP="00684641">
      <w:pPr>
        <w:ind w:left="720"/>
        <w:contextualSpacing/>
        <w:jc w:val="both"/>
        <w:rPr>
          <w:rFonts w:asciiTheme="minorHAnsi" w:hAnsiTheme="minorHAnsi" w:cstheme="minorHAnsi"/>
        </w:rPr>
      </w:pPr>
    </w:p>
    <w:p w14:paraId="514574FD" w14:textId="77777777" w:rsidR="009F1C26" w:rsidRPr="00684641" w:rsidRDefault="009F1C26" w:rsidP="000C6AD8">
      <w:pPr>
        <w:keepNext/>
        <w:keepLines/>
        <w:numPr>
          <w:ilvl w:val="1"/>
          <w:numId w:val="4"/>
        </w:numPr>
        <w:spacing w:before="240" w:after="120" w:line="240" w:lineRule="auto"/>
        <w:ind w:left="709" w:hanging="709"/>
        <w:jc w:val="both"/>
        <w:outlineLvl w:val="1"/>
        <w:rPr>
          <w:rFonts w:asciiTheme="minorHAnsi" w:hAnsiTheme="minorHAnsi" w:cstheme="minorHAnsi"/>
          <w:b/>
          <w:bCs/>
          <w:sz w:val="28"/>
          <w:szCs w:val="26"/>
        </w:rPr>
      </w:pPr>
      <w:r w:rsidRPr="00684641">
        <w:rPr>
          <w:rFonts w:asciiTheme="minorHAnsi" w:hAnsiTheme="minorHAnsi" w:cstheme="minorHAnsi"/>
          <w:b/>
          <w:bCs/>
          <w:sz w:val="28"/>
          <w:szCs w:val="26"/>
        </w:rPr>
        <w:t>Programmdauer</w:t>
      </w:r>
    </w:p>
    <w:p w14:paraId="70A5EA4B" w14:textId="77777777" w:rsidR="009F1C26" w:rsidRPr="00684641" w:rsidRDefault="009F1C26" w:rsidP="000C6AD8">
      <w:pPr>
        <w:ind w:left="709"/>
        <w:jc w:val="both"/>
        <w:rPr>
          <w:rFonts w:asciiTheme="minorHAnsi" w:hAnsiTheme="minorHAnsi" w:cstheme="minorHAnsi"/>
        </w:rPr>
      </w:pPr>
      <w:r w:rsidRPr="00684641">
        <w:rPr>
          <w:rFonts w:asciiTheme="minorHAnsi" w:hAnsiTheme="minorHAnsi" w:cstheme="minorHAnsi"/>
        </w:rPr>
        <w:t xml:space="preserve">Das Programm ist in der Regel auf </w:t>
      </w:r>
      <w:r w:rsidRPr="00684641">
        <w:rPr>
          <w:rFonts w:asciiTheme="minorHAnsi" w:hAnsiTheme="minorHAnsi" w:cstheme="minorHAnsi"/>
          <w:b/>
        </w:rPr>
        <w:t>zwei Jahre</w:t>
      </w:r>
      <w:r w:rsidRPr="00684641">
        <w:rPr>
          <w:rFonts w:asciiTheme="minorHAnsi" w:hAnsiTheme="minorHAnsi" w:cstheme="minorHAnsi"/>
        </w:rPr>
        <w:t xml:space="preserve"> angelegt, eine einjährige Verlängerung ist im Einzelfall auf Antrag möglich. Diese bedarf der Zustimmung der Kommission. Während Mutterschutz- und Erziehungszeiten kann die Programmteilnahme nach Wunsch aus- oder fortgesetzt werden. Mentees sind vor dieser Entscheidung darauf hinzuweisen, dass eine Übernahme von Reisekosten in der Mutterschutzzeit aus rechtlichen Gründen nicht möglich ist.</w:t>
      </w:r>
    </w:p>
    <w:p w14:paraId="281A3E07" w14:textId="77777777" w:rsidR="009F1C26" w:rsidRPr="00684641" w:rsidRDefault="009F1C26" w:rsidP="00684641">
      <w:pPr>
        <w:keepNext/>
        <w:keepLines/>
        <w:numPr>
          <w:ilvl w:val="1"/>
          <w:numId w:val="4"/>
        </w:numPr>
        <w:spacing w:before="240" w:after="120" w:line="240" w:lineRule="auto"/>
        <w:ind w:left="578" w:hanging="578"/>
        <w:jc w:val="both"/>
        <w:outlineLvl w:val="1"/>
        <w:rPr>
          <w:rFonts w:asciiTheme="minorHAnsi" w:hAnsiTheme="minorHAnsi" w:cstheme="minorHAnsi"/>
          <w:b/>
          <w:bCs/>
          <w:sz w:val="28"/>
          <w:szCs w:val="26"/>
        </w:rPr>
      </w:pPr>
      <w:r w:rsidRPr="00684641">
        <w:rPr>
          <w:rFonts w:asciiTheme="minorHAnsi" w:hAnsiTheme="minorHAnsi" w:cstheme="minorHAnsi"/>
          <w:b/>
          <w:bCs/>
          <w:sz w:val="28"/>
          <w:szCs w:val="26"/>
        </w:rPr>
        <w:t>Mentorinnen und Mentoren</w:t>
      </w:r>
    </w:p>
    <w:p w14:paraId="11CA52E9" w14:textId="469AD13C" w:rsidR="009F1C26" w:rsidRDefault="009F1C26" w:rsidP="00684641">
      <w:pPr>
        <w:keepNext/>
        <w:keepLines/>
        <w:ind w:left="576"/>
        <w:jc w:val="both"/>
        <w:rPr>
          <w:rFonts w:asciiTheme="minorHAnsi" w:hAnsiTheme="minorHAnsi" w:cstheme="minorHAnsi"/>
        </w:rPr>
      </w:pPr>
      <w:r w:rsidRPr="00684641">
        <w:rPr>
          <w:rFonts w:asciiTheme="minorHAnsi" w:hAnsiTheme="minorHAnsi" w:cstheme="minorHAnsi"/>
        </w:rPr>
        <w:t xml:space="preserve">Die Auswahl einer Hochschullehrerin oder eines Hochschullehrers als </w:t>
      </w:r>
      <w:r w:rsidR="0058656C" w:rsidRPr="00684641">
        <w:rPr>
          <w:rFonts w:asciiTheme="minorHAnsi" w:hAnsiTheme="minorHAnsi" w:cstheme="minorHAnsi"/>
        </w:rPr>
        <w:t xml:space="preserve">geeignete </w:t>
      </w:r>
      <w:r w:rsidRPr="00684641">
        <w:rPr>
          <w:rFonts w:asciiTheme="minorHAnsi" w:hAnsiTheme="minorHAnsi" w:cstheme="minorHAnsi"/>
        </w:rPr>
        <w:t xml:space="preserve">Mentorin oder </w:t>
      </w:r>
      <w:r w:rsidR="0058656C" w:rsidRPr="00684641">
        <w:rPr>
          <w:rFonts w:asciiTheme="minorHAnsi" w:hAnsiTheme="minorHAnsi" w:cstheme="minorHAnsi"/>
        </w:rPr>
        <w:t xml:space="preserve">geeigneten </w:t>
      </w:r>
      <w:r w:rsidRPr="00684641">
        <w:rPr>
          <w:rFonts w:asciiTheme="minorHAnsi" w:hAnsiTheme="minorHAnsi" w:cstheme="minorHAnsi"/>
        </w:rPr>
        <w:t>Mentor ist den Mentees überlassen.</w:t>
      </w:r>
      <w:r w:rsidR="008E1767" w:rsidRPr="00684641">
        <w:rPr>
          <w:rFonts w:asciiTheme="minorHAnsi" w:hAnsiTheme="minorHAnsi" w:cstheme="minorHAnsi"/>
        </w:rPr>
        <w:t xml:space="preserve"> Mentorinnen / Mentoren gehören dem Personenkreis der Professorinnen und Professoren an (W1, W2, W3).</w:t>
      </w:r>
      <w:r w:rsidRPr="00684641">
        <w:rPr>
          <w:rFonts w:asciiTheme="minorHAnsi" w:hAnsiTheme="minorHAnsi" w:cstheme="minorHAnsi"/>
        </w:rPr>
        <w:t xml:space="preserve"> Die 08LMUMentoring-Kommission kann Mentees auf Wunsch im Vorfeld der Bewerbung dabei unterstützen, geeignete Personen zu identifizieren. In der Regel soll eine Mentorin oder ein Mentor benannt werden. Werden im Einzelfall (z. B. bei Einbeziehung externer Mentorinnen oder Mentoren) mehrere Personen benannt, muss angegeben werden, wer berichtsverantwortlich ist. Bis zum Programmstart muss mit</w:t>
      </w:r>
      <w:r w:rsidR="008E1767" w:rsidRPr="00684641">
        <w:rPr>
          <w:rFonts w:asciiTheme="minorHAnsi" w:hAnsiTheme="minorHAnsi" w:cstheme="minorHAnsi"/>
        </w:rPr>
        <w:t xml:space="preserve"> jeder Mentorin bzw. jedem Mentor</w:t>
      </w:r>
      <w:r w:rsidRPr="00684641">
        <w:rPr>
          <w:rFonts w:asciiTheme="minorHAnsi" w:hAnsiTheme="minorHAnsi" w:cstheme="minorHAnsi"/>
        </w:rPr>
        <w:t xml:space="preserve"> eine Mentoring-Vereinbarung (Formblatt 3) abgeschlossen werden, die der 08LMUMentoring-Kommission vorzulegen ist. Scheidet die/der Mentoring-Verantwortliche aus persönlichen Gründen – z. B. Krankheit – aus, ist vom Mentee eine Nachfolgerin oder ein Nachfolger zu benennen, ggf. mit Unterstützung der Kommission. </w:t>
      </w:r>
    </w:p>
    <w:p w14:paraId="3C59C1F0" w14:textId="77777777" w:rsidR="00684641" w:rsidRPr="00684641" w:rsidRDefault="00684641" w:rsidP="00684641">
      <w:pPr>
        <w:keepNext/>
        <w:keepLines/>
        <w:ind w:left="576"/>
        <w:jc w:val="both"/>
        <w:rPr>
          <w:rFonts w:asciiTheme="minorHAnsi" w:hAnsiTheme="minorHAnsi" w:cstheme="minorHAnsi"/>
        </w:rPr>
      </w:pPr>
    </w:p>
    <w:p w14:paraId="19DB693F" w14:textId="77777777" w:rsidR="009F1C26" w:rsidRPr="00684641" w:rsidRDefault="009F1C26" w:rsidP="00684641">
      <w:pPr>
        <w:keepNext/>
        <w:keepLines/>
        <w:numPr>
          <w:ilvl w:val="1"/>
          <w:numId w:val="4"/>
        </w:numPr>
        <w:spacing w:before="240" w:after="120" w:line="240" w:lineRule="auto"/>
        <w:ind w:left="578" w:hanging="578"/>
        <w:jc w:val="both"/>
        <w:outlineLvl w:val="1"/>
        <w:rPr>
          <w:rFonts w:asciiTheme="minorHAnsi" w:hAnsiTheme="minorHAnsi" w:cstheme="minorHAnsi"/>
          <w:b/>
          <w:bCs/>
          <w:sz w:val="28"/>
          <w:szCs w:val="26"/>
        </w:rPr>
      </w:pPr>
      <w:r w:rsidRPr="00684641">
        <w:rPr>
          <w:rFonts w:asciiTheme="minorHAnsi" w:hAnsiTheme="minorHAnsi" w:cstheme="minorHAnsi"/>
          <w:b/>
          <w:bCs/>
          <w:sz w:val="28"/>
          <w:szCs w:val="26"/>
        </w:rPr>
        <w:t>Förderfähige Leistungen</w:t>
      </w:r>
    </w:p>
    <w:p w14:paraId="11615CFF" w14:textId="34558739" w:rsidR="009F1C26" w:rsidRDefault="009F1C26" w:rsidP="009F1C26">
      <w:pPr>
        <w:ind w:left="576"/>
        <w:jc w:val="both"/>
        <w:rPr>
          <w:rFonts w:asciiTheme="minorHAnsi" w:hAnsiTheme="minorHAnsi" w:cstheme="minorHAnsi"/>
        </w:rPr>
      </w:pPr>
      <w:r w:rsidRPr="00684641">
        <w:rPr>
          <w:rFonts w:asciiTheme="minorHAnsi" w:hAnsiTheme="minorHAnsi" w:cstheme="minorHAnsi"/>
        </w:rPr>
        <w:t xml:space="preserve">Förderfähige Leistungen sind in Anlage 1 ausgeführt und müssen vom Mentee schriftlich beantragt werden. Ein Befürwortungsschreiben von der Mentorin / dem Mentor ist dem Antrag beizulegen. Die Förderung muss von der 08LMUMentoring-Kommission bewilligt werden, die auf eine bedarfsgerechte und ausgewogene Mittelverteilung hinwirkt. </w:t>
      </w:r>
    </w:p>
    <w:p w14:paraId="503155B2" w14:textId="77777777" w:rsidR="00684641" w:rsidRPr="00684641" w:rsidRDefault="00684641" w:rsidP="009F1C26">
      <w:pPr>
        <w:ind w:left="576"/>
        <w:jc w:val="both"/>
        <w:rPr>
          <w:rFonts w:asciiTheme="minorHAnsi" w:hAnsiTheme="minorHAnsi" w:cstheme="minorHAnsi"/>
        </w:rPr>
      </w:pPr>
    </w:p>
    <w:p w14:paraId="5F396492" w14:textId="77777777" w:rsidR="009F1C26" w:rsidRPr="00684641" w:rsidRDefault="009F1C26" w:rsidP="00684641">
      <w:pPr>
        <w:keepNext/>
        <w:keepLines/>
        <w:numPr>
          <w:ilvl w:val="1"/>
          <w:numId w:val="4"/>
        </w:numPr>
        <w:spacing w:before="240" w:after="120" w:line="240" w:lineRule="auto"/>
        <w:ind w:left="578" w:hanging="578"/>
        <w:jc w:val="both"/>
        <w:outlineLvl w:val="1"/>
        <w:rPr>
          <w:rFonts w:asciiTheme="minorHAnsi" w:hAnsiTheme="minorHAnsi" w:cstheme="minorHAnsi"/>
          <w:b/>
          <w:bCs/>
          <w:sz w:val="28"/>
          <w:szCs w:val="26"/>
        </w:rPr>
      </w:pPr>
      <w:r w:rsidRPr="00684641">
        <w:rPr>
          <w:rFonts w:asciiTheme="minorHAnsi" w:hAnsiTheme="minorHAnsi" w:cstheme="minorHAnsi"/>
          <w:b/>
          <w:bCs/>
          <w:sz w:val="28"/>
          <w:szCs w:val="26"/>
        </w:rPr>
        <w:t>Pflichten der Mentees und Mentoren</w:t>
      </w:r>
    </w:p>
    <w:p w14:paraId="37D42F3F" w14:textId="77777777" w:rsidR="009F1C26" w:rsidRPr="00684641" w:rsidRDefault="009F1C26" w:rsidP="000C6AD8">
      <w:pPr>
        <w:pStyle w:val="berschrift3"/>
        <w:keepLines/>
        <w:numPr>
          <w:ilvl w:val="2"/>
          <w:numId w:val="4"/>
        </w:numPr>
        <w:spacing w:after="120" w:line="240" w:lineRule="auto"/>
        <w:ind w:left="567" w:hanging="567"/>
        <w:jc w:val="both"/>
        <w:rPr>
          <w:rFonts w:asciiTheme="minorHAnsi" w:hAnsiTheme="minorHAnsi" w:cstheme="minorHAnsi"/>
        </w:rPr>
      </w:pPr>
      <w:r w:rsidRPr="00684641">
        <w:rPr>
          <w:rFonts w:asciiTheme="minorHAnsi" w:hAnsiTheme="minorHAnsi" w:cstheme="minorHAnsi"/>
        </w:rPr>
        <w:t>Veranstaltungsteilnahme</w:t>
      </w:r>
    </w:p>
    <w:p w14:paraId="6225678A" w14:textId="77777777" w:rsidR="009F1C26" w:rsidRPr="00684641" w:rsidRDefault="009F1C26" w:rsidP="000C6AD8">
      <w:pPr>
        <w:ind w:left="567"/>
        <w:jc w:val="both"/>
        <w:rPr>
          <w:rFonts w:asciiTheme="minorHAnsi" w:hAnsiTheme="minorHAnsi" w:cstheme="minorHAnsi"/>
        </w:rPr>
      </w:pPr>
      <w:r w:rsidRPr="00684641">
        <w:rPr>
          <w:rFonts w:asciiTheme="minorHAnsi" w:hAnsiTheme="minorHAnsi" w:cstheme="minorHAnsi"/>
        </w:rPr>
        <w:t>Mentees und Mentoren verpflichten sich, regelmäßig an inner- und überfakultären Veranstaltungen des 08LMUMentoring-Programms teilzunehmen.</w:t>
      </w:r>
    </w:p>
    <w:p w14:paraId="5002094D" w14:textId="77777777" w:rsidR="009F1C26" w:rsidRPr="00684641" w:rsidRDefault="009F1C26" w:rsidP="000C6AD8">
      <w:pPr>
        <w:pStyle w:val="berschrift3"/>
        <w:keepLines/>
        <w:numPr>
          <w:ilvl w:val="2"/>
          <w:numId w:val="4"/>
        </w:numPr>
        <w:spacing w:after="120" w:line="240" w:lineRule="auto"/>
        <w:ind w:left="567" w:hanging="567"/>
        <w:jc w:val="both"/>
        <w:rPr>
          <w:rFonts w:asciiTheme="minorHAnsi" w:hAnsiTheme="minorHAnsi" w:cstheme="minorHAnsi"/>
        </w:rPr>
      </w:pPr>
      <w:r w:rsidRPr="00684641">
        <w:rPr>
          <w:rFonts w:asciiTheme="minorHAnsi" w:hAnsiTheme="minorHAnsi" w:cstheme="minorHAnsi"/>
        </w:rPr>
        <w:t>Berichtspflicht an die Hochschulleitung</w:t>
      </w:r>
    </w:p>
    <w:p w14:paraId="792BA596" w14:textId="74507A42" w:rsidR="009F1C26" w:rsidRDefault="009F1C26" w:rsidP="000C6AD8">
      <w:pPr>
        <w:ind w:left="567"/>
        <w:jc w:val="both"/>
        <w:rPr>
          <w:rFonts w:asciiTheme="minorHAnsi" w:hAnsiTheme="minorHAnsi" w:cstheme="minorHAnsi"/>
        </w:rPr>
      </w:pPr>
      <w:r w:rsidRPr="00684641">
        <w:rPr>
          <w:rFonts w:asciiTheme="minorHAnsi" w:hAnsiTheme="minorHAnsi" w:cstheme="minorHAnsi"/>
        </w:rPr>
        <w:t>Jährlich, erstmals bis zum 15.10.2018 und in den folgenden Jahren bis zum 15. Oktober, legen die Mentees einen Bericht über die genutzten Maßnahmen und die persönlichen Fortschritte (Formblatt 4) mit einer Stellungnahme der oder des Mentoring-Verantwortlichen (Formblatt 5) dem Dekanat vor. Der Jahresbericht des Dekans enthält mindestens die ausgefüllten Formblätter der Mentees und Mentorin</w:t>
      </w:r>
      <w:r w:rsidRPr="00684641">
        <w:rPr>
          <w:rFonts w:asciiTheme="minorHAnsi" w:hAnsiTheme="minorHAnsi" w:cstheme="minorHAnsi"/>
        </w:rPr>
        <w:lastRenderedPageBreak/>
        <w:t>nen/Mentoren sowie eine Gesamtübersicht und die Aufstellung der Mittel. Der Jahresbericht wird nach Billigung durch die Kommission an das Präsidium der LMU übermittelt.</w:t>
      </w:r>
    </w:p>
    <w:p w14:paraId="4E6F246C" w14:textId="77777777" w:rsidR="00684641" w:rsidRPr="00684641" w:rsidRDefault="00684641" w:rsidP="009F1C26">
      <w:pPr>
        <w:ind w:left="709"/>
        <w:jc w:val="both"/>
        <w:rPr>
          <w:rFonts w:asciiTheme="minorHAnsi" w:hAnsiTheme="minorHAnsi" w:cstheme="minorHAnsi"/>
        </w:rPr>
      </w:pPr>
    </w:p>
    <w:p w14:paraId="1A7C6ACC" w14:textId="77777777" w:rsidR="009F1C26" w:rsidRPr="00684641" w:rsidRDefault="009F1C26" w:rsidP="00684641">
      <w:pPr>
        <w:keepNext/>
        <w:keepLines/>
        <w:numPr>
          <w:ilvl w:val="1"/>
          <w:numId w:val="4"/>
        </w:numPr>
        <w:spacing w:before="240" w:after="120" w:line="240" w:lineRule="auto"/>
        <w:ind w:left="578" w:hanging="578"/>
        <w:jc w:val="both"/>
        <w:outlineLvl w:val="1"/>
        <w:rPr>
          <w:rFonts w:asciiTheme="minorHAnsi" w:hAnsiTheme="minorHAnsi" w:cstheme="minorHAnsi"/>
          <w:b/>
          <w:bCs/>
          <w:sz w:val="28"/>
          <w:szCs w:val="26"/>
        </w:rPr>
      </w:pPr>
      <w:r w:rsidRPr="00684641">
        <w:rPr>
          <w:rFonts w:asciiTheme="minorHAnsi" w:hAnsiTheme="minorHAnsi" w:cstheme="minorHAnsi"/>
          <w:b/>
          <w:bCs/>
          <w:sz w:val="28"/>
          <w:szCs w:val="26"/>
        </w:rPr>
        <w:t>Verwaltung</w:t>
      </w:r>
    </w:p>
    <w:p w14:paraId="3219DEF7" w14:textId="4D111667" w:rsidR="009F1C26" w:rsidRDefault="009F1C26" w:rsidP="009F1C26">
      <w:pPr>
        <w:ind w:left="576"/>
        <w:jc w:val="both"/>
        <w:rPr>
          <w:rFonts w:asciiTheme="minorHAnsi" w:hAnsiTheme="minorHAnsi" w:cstheme="minorHAnsi"/>
        </w:rPr>
      </w:pPr>
      <w:r w:rsidRPr="00684641">
        <w:rPr>
          <w:rFonts w:asciiTheme="minorHAnsi" w:hAnsiTheme="minorHAnsi" w:cstheme="minorHAnsi"/>
        </w:rPr>
        <w:t>Unterlagen (z. B. Reisekostenanträge, Werkverträge, Hilfskraft- oder TA-Verträge) sind von den entsprechenden Lehrstühlen, denen die Mentees angehören, vorzubereiten und im Voraus an die Kostenstelle (Dekanat) zu übermitteln. Die Verwaltung der Mittel erfolgt im Dekanat. Ggf. können Mehrkosten (z. B. Hilfskraft) aus Mentoring-Overheadmitteln erstattet werden.</w:t>
      </w:r>
    </w:p>
    <w:p w14:paraId="239544DD" w14:textId="77777777" w:rsidR="00684641" w:rsidRPr="00684641" w:rsidRDefault="00684641" w:rsidP="009F1C26">
      <w:pPr>
        <w:ind w:left="576"/>
        <w:jc w:val="both"/>
        <w:rPr>
          <w:rFonts w:asciiTheme="minorHAnsi" w:hAnsiTheme="minorHAnsi" w:cstheme="minorHAnsi"/>
        </w:rPr>
      </w:pPr>
    </w:p>
    <w:p w14:paraId="258B6ED1" w14:textId="77777777" w:rsidR="009F1C26" w:rsidRPr="00684641" w:rsidRDefault="009F1C26" w:rsidP="00684641">
      <w:pPr>
        <w:keepNext/>
        <w:keepLines/>
        <w:numPr>
          <w:ilvl w:val="1"/>
          <w:numId w:val="4"/>
        </w:numPr>
        <w:spacing w:before="240" w:after="120" w:line="240" w:lineRule="auto"/>
        <w:ind w:left="578" w:hanging="578"/>
        <w:jc w:val="both"/>
        <w:outlineLvl w:val="1"/>
        <w:rPr>
          <w:rFonts w:asciiTheme="minorHAnsi" w:hAnsiTheme="minorHAnsi" w:cstheme="minorHAnsi"/>
          <w:b/>
          <w:bCs/>
          <w:sz w:val="28"/>
          <w:szCs w:val="26"/>
        </w:rPr>
      </w:pPr>
      <w:r w:rsidRPr="00684641">
        <w:rPr>
          <w:rFonts w:asciiTheme="minorHAnsi" w:hAnsiTheme="minorHAnsi" w:cstheme="minorHAnsi"/>
          <w:b/>
          <w:bCs/>
          <w:sz w:val="28"/>
          <w:szCs w:val="26"/>
        </w:rPr>
        <w:t>Sonstiges</w:t>
      </w:r>
    </w:p>
    <w:p w14:paraId="28616DAF" w14:textId="387A46B6" w:rsidR="009F1C26" w:rsidRPr="00684641" w:rsidRDefault="009F1C26" w:rsidP="00684641">
      <w:pPr>
        <w:ind w:left="576"/>
        <w:jc w:val="both"/>
        <w:rPr>
          <w:rFonts w:asciiTheme="minorHAnsi" w:hAnsiTheme="minorHAnsi" w:cstheme="minorHAnsi"/>
          <w:spacing w:val="0"/>
        </w:rPr>
      </w:pPr>
      <w:r w:rsidRPr="00684641">
        <w:rPr>
          <w:rFonts w:asciiTheme="minorHAnsi" w:hAnsiTheme="minorHAnsi" w:cstheme="minorHAnsi"/>
        </w:rPr>
        <w:t xml:space="preserve">Das Programm ist offen für Weiterentwicklung; nach einer Pilotphase von 3 Jahren </w:t>
      </w:r>
      <w:r w:rsidRPr="00684641">
        <w:rPr>
          <w:rFonts w:asciiTheme="minorHAnsi" w:hAnsiTheme="minorHAnsi" w:cstheme="minorHAnsi"/>
          <w:sz w:val="24"/>
          <w:szCs w:val="24"/>
        </w:rPr>
        <w:t>soll</w:t>
      </w:r>
      <w:r w:rsidR="00232C21">
        <w:rPr>
          <w:rFonts w:asciiTheme="minorHAnsi" w:hAnsiTheme="minorHAnsi" w:cstheme="minorHAnsi"/>
          <w:sz w:val="24"/>
          <w:szCs w:val="24"/>
        </w:rPr>
        <w:t xml:space="preserve"> </w:t>
      </w:r>
      <w:r w:rsidR="00DC7777" w:rsidRPr="00684641">
        <w:rPr>
          <w:rFonts w:asciiTheme="minorHAnsi" w:hAnsiTheme="minorHAnsi" w:cstheme="minorHAnsi"/>
          <w:sz w:val="24"/>
          <w:szCs w:val="24"/>
        </w:rPr>
        <w:t>durch eine nicht der Fakultät zugehörigen Institution</w:t>
      </w:r>
      <w:r w:rsidRPr="00684641">
        <w:rPr>
          <w:rFonts w:asciiTheme="minorHAnsi" w:hAnsiTheme="minorHAnsi" w:cstheme="minorHAnsi"/>
          <w:sz w:val="24"/>
          <w:szCs w:val="24"/>
        </w:rPr>
        <w:t xml:space="preserve"> extern evaluiert werden</w:t>
      </w:r>
      <w:r w:rsidRPr="00684641">
        <w:rPr>
          <w:rFonts w:asciiTheme="minorHAnsi" w:hAnsiTheme="minorHAnsi" w:cstheme="minorHAnsi"/>
        </w:rPr>
        <w:t xml:space="preserve">, ob die gewählte Ausgestaltung des Programms geeignet ist, die Programmziele zu erfüllen. </w:t>
      </w:r>
    </w:p>
    <w:sectPr w:rsidR="009F1C26" w:rsidRPr="00684641" w:rsidSect="00704CBF">
      <w:headerReference w:type="default" r:id="rId10"/>
      <w:headerReference w:type="first" r:id="rId11"/>
      <w:pgSz w:w="11907" w:h="16840" w:code="9"/>
      <w:pgMar w:top="1622" w:right="1418" w:bottom="567"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F115AF" w14:textId="77777777" w:rsidR="005B284B" w:rsidRDefault="005B284B">
      <w:r>
        <w:separator/>
      </w:r>
    </w:p>
  </w:endnote>
  <w:endnote w:type="continuationSeparator" w:id="0">
    <w:p w14:paraId="0C66DE22" w14:textId="77777777" w:rsidR="005B284B" w:rsidRDefault="005B28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MU CompatilFact">
    <w:altName w:val="Bell MT"/>
    <w:panose1 w:val="02000500060000020003"/>
    <w:charset w:val="00"/>
    <w:family w:val="auto"/>
    <w:pitch w:val="variable"/>
    <w:sig w:usb0="8000002F" w:usb1="00000042" w:usb2="00000000" w:usb3="00000000" w:csb0="00000001" w:csb1="00000000"/>
  </w:font>
  <w:font w:name="Tahoma">
    <w:panose1 w:val="020B0604030504040204"/>
    <w:charset w:val="00"/>
    <w:family w:val="auto"/>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DDD53F" w14:textId="77777777" w:rsidR="005B284B" w:rsidRDefault="005B284B">
      <w:r>
        <w:separator/>
      </w:r>
    </w:p>
  </w:footnote>
  <w:footnote w:type="continuationSeparator" w:id="0">
    <w:p w14:paraId="39A12BB8" w14:textId="77777777" w:rsidR="005B284B" w:rsidRDefault="005B284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180" w:type="dxa"/>
      <w:tblInd w:w="108" w:type="dxa"/>
      <w:tblBorders>
        <w:bottom w:val="single" w:sz="4" w:space="0" w:color="auto"/>
        <w:insideH w:val="single" w:sz="4" w:space="0" w:color="auto"/>
      </w:tblBorders>
      <w:tblLook w:val="01E0" w:firstRow="1" w:lastRow="1" w:firstColumn="1" w:lastColumn="1" w:noHBand="0" w:noVBand="0"/>
    </w:tblPr>
    <w:tblGrid>
      <w:gridCol w:w="4271"/>
      <w:gridCol w:w="4909"/>
    </w:tblGrid>
    <w:tr w:rsidR="002F377D" w14:paraId="26028DE0" w14:textId="77777777" w:rsidTr="00263C40">
      <w:tc>
        <w:tcPr>
          <w:tcW w:w="4271" w:type="dxa"/>
          <w:tcBorders>
            <w:bottom w:val="single" w:sz="4" w:space="0" w:color="auto"/>
          </w:tcBorders>
        </w:tcPr>
        <w:p w14:paraId="0E54BABD" w14:textId="77777777" w:rsidR="002F377D" w:rsidRDefault="002F377D" w:rsidP="00B03F63">
          <w:pPr>
            <w:pStyle w:val="Kopfzeile"/>
            <w:tabs>
              <w:tab w:val="clear" w:pos="4536"/>
              <w:tab w:val="clear" w:pos="9072"/>
              <w:tab w:val="left" w:pos="4790"/>
            </w:tabs>
            <w:spacing w:after="120"/>
            <w:rPr>
              <w:b/>
              <w:bCs/>
              <w:caps/>
              <w:sz w:val="14"/>
              <w:szCs w:val="14"/>
            </w:rPr>
          </w:pPr>
          <w:r>
            <w:rPr>
              <w:b/>
              <w:bCs/>
              <w:caps/>
              <w:sz w:val="14"/>
              <w:szCs w:val="14"/>
            </w:rPr>
            <w:t>ludwig-maximilians-universität münchen</w:t>
          </w:r>
        </w:p>
      </w:tc>
      <w:tc>
        <w:tcPr>
          <w:tcW w:w="4909" w:type="dxa"/>
          <w:tcBorders>
            <w:bottom w:val="single" w:sz="4" w:space="0" w:color="auto"/>
          </w:tcBorders>
        </w:tcPr>
        <w:p w14:paraId="638CA77F" w14:textId="170489FB" w:rsidR="002F377D" w:rsidRDefault="002F377D" w:rsidP="00B03F63">
          <w:pPr>
            <w:pStyle w:val="Kopfzeile"/>
            <w:spacing w:after="120"/>
            <w:jc w:val="right"/>
            <w:rPr>
              <w:b/>
              <w:bCs/>
              <w:caps/>
              <w:sz w:val="14"/>
              <w:szCs w:val="14"/>
            </w:rPr>
          </w:pPr>
          <w:r>
            <w:rPr>
              <w:b/>
              <w:bCs/>
              <w:caps/>
              <w:sz w:val="14"/>
              <w:szCs w:val="14"/>
            </w:rPr>
            <w:t xml:space="preserve">Seite </w:t>
          </w:r>
          <w:r>
            <w:rPr>
              <w:b/>
              <w:bCs/>
              <w:caps/>
              <w:sz w:val="14"/>
              <w:szCs w:val="14"/>
            </w:rPr>
            <w:fldChar w:fldCharType="begin"/>
          </w:r>
          <w:r>
            <w:rPr>
              <w:b/>
              <w:bCs/>
              <w:caps/>
              <w:sz w:val="14"/>
              <w:szCs w:val="14"/>
            </w:rPr>
            <w:instrText xml:space="preserve"> </w:instrText>
          </w:r>
          <w:r w:rsidR="002F2427">
            <w:rPr>
              <w:b/>
              <w:bCs/>
              <w:caps/>
              <w:sz w:val="14"/>
              <w:szCs w:val="14"/>
            </w:rPr>
            <w:instrText>PAGE</w:instrText>
          </w:r>
          <w:r>
            <w:rPr>
              <w:b/>
              <w:bCs/>
              <w:caps/>
              <w:sz w:val="14"/>
              <w:szCs w:val="14"/>
            </w:rPr>
            <w:instrText xml:space="preserve"> </w:instrText>
          </w:r>
          <w:r>
            <w:rPr>
              <w:b/>
              <w:bCs/>
              <w:caps/>
              <w:sz w:val="14"/>
              <w:szCs w:val="14"/>
            </w:rPr>
            <w:fldChar w:fldCharType="separate"/>
          </w:r>
          <w:r w:rsidR="00E15E9D">
            <w:rPr>
              <w:b/>
              <w:bCs/>
              <w:caps/>
              <w:noProof/>
              <w:sz w:val="14"/>
              <w:szCs w:val="14"/>
            </w:rPr>
            <w:t>3</w:t>
          </w:r>
          <w:r>
            <w:rPr>
              <w:b/>
              <w:bCs/>
              <w:caps/>
              <w:sz w:val="14"/>
              <w:szCs w:val="14"/>
            </w:rPr>
            <w:fldChar w:fldCharType="end"/>
          </w:r>
          <w:r>
            <w:rPr>
              <w:b/>
              <w:bCs/>
              <w:caps/>
              <w:sz w:val="14"/>
              <w:szCs w:val="14"/>
            </w:rPr>
            <w:t xml:space="preserve"> von </w:t>
          </w:r>
          <w:r>
            <w:rPr>
              <w:b/>
              <w:bCs/>
              <w:caps/>
              <w:sz w:val="14"/>
              <w:szCs w:val="14"/>
            </w:rPr>
            <w:fldChar w:fldCharType="begin"/>
          </w:r>
          <w:r>
            <w:rPr>
              <w:b/>
              <w:bCs/>
              <w:caps/>
              <w:sz w:val="14"/>
              <w:szCs w:val="14"/>
            </w:rPr>
            <w:instrText xml:space="preserve"> </w:instrText>
          </w:r>
          <w:r w:rsidR="002F2427">
            <w:rPr>
              <w:b/>
              <w:bCs/>
              <w:caps/>
              <w:sz w:val="14"/>
              <w:szCs w:val="14"/>
            </w:rPr>
            <w:instrText>NUMPAGES</w:instrText>
          </w:r>
          <w:r>
            <w:rPr>
              <w:b/>
              <w:bCs/>
              <w:caps/>
              <w:sz w:val="14"/>
              <w:szCs w:val="14"/>
            </w:rPr>
            <w:instrText xml:space="preserve"> </w:instrText>
          </w:r>
          <w:r>
            <w:rPr>
              <w:b/>
              <w:bCs/>
              <w:caps/>
              <w:sz w:val="14"/>
              <w:szCs w:val="14"/>
            </w:rPr>
            <w:fldChar w:fldCharType="separate"/>
          </w:r>
          <w:r w:rsidR="00E15E9D">
            <w:rPr>
              <w:b/>
              <w:bCs/>
              <w:caps/>
              <w:noProof/>
              <w:sz w:val="14"/>
              <w:szCs w:val="14"/>
            </w:rPr>
            <w:t>4</w:t>
          </w:r>
          <w:r>
            <w:rPr>
              <w:b/>
              <w:bCs/>
              <w:caps/>
              <w:sz w:val="14"/>
              <w:szCs w:val="14"/>
            </w:rPr>
            <w:fldChar w:fldCharType="end"/>
          </w:r>
        </w:p>
      </w:tc>
    </w:tr>
  </w:tbl>
  <w:p w14:paraId="4B09A2F1" w14:textId="77777777" w:rsidR="002F377D" w:rsidRDefault="002F377D" w:rsidP="002F377D">
    <w:pPr>
      <w:pStyle w:val="Kopfzeile"/>
      <w:rPr>
        <w:b/>
        <w:bCs/>
        <w:sz w:val="14"/>
        <w:szCs w:val="14"/>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FF0EEB" w14:textId="6858EF14" w:rsidR="005F08C8" w:rsidRDefault="00AA7095" w:rsidP="002F377D">
    <w:pPr>
      <w:pStyle w:val="Boxentext"/>
      <w:spacing w:before="1440" w:line="240" w:lineRule="auto"/>
      <w:ind w:left="0"/>
      <w:rPr>
        <w:b w:val="0"/>
        <w:bCs w:val="0"/>
        <w:sz w:val="16"/>
        <w:szCs w:val="16"/>
      </w:rPr>
    </w:pPr>
    <w:r>
      <w:rPr>
        <w:noProof/>
      </w:rPr>
      <mc:AlternateContent>
        <mc:Choice Requires="wps">
          <w:drawing>
            <wp:anchor distT="0" distB="0" distL="114300" distR="114300" simplePos="0" relativeHeight="251658240" behindDoc="1" locked="0" layoutInCell="1" allowOverlap="1" wp14:anchorId="2F78EE84" wp14:editId="39C226D8">
              <wp:simplePos x="0" y="0"/>
              <wp:positionH relativeFrom="margin">
                <wp:posOffset>1333500</wp:posOffset>
              </wp:positionH>
              <wp:positionV relativeFrom="page">
                <wp:posOffset>455295</wp:posOffset>
              </wp:positionV>
              <wp:extent cx="3179445" cy="742315"/>
              <wp:effectExtent l="0" t="0" r="0" b="2540"/>
              <wp:wrapNone/>
              <wp:docPr id="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9445" cy="742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39D3073" w14:textId="77777777" w:rsidR="00203DE5" w:rsidRDefault="00203DE5" w:rsidP="006B706B">
                          <w:pPr>
                            <w:spacing w:line="176" w:lineRule="exact"/>
                            <w:rPr>
                              <w:b/>
                              <w:bCs/>
                              <w:caps/>
                              <w:sz w:val="14"/>
                              <w:szCs w:val="14"/>
                            </w:rPr>
                          </w:pPr>
                        </w:p>
                        <w:p w14:paraId="20589774" w14:textId="77777777" w:rsidR="00203DE5" w:rsidRDefault="00203DE5" w:rsidP="006B706B">
                          <w:pPr>
                            <w:spacing w:line="176" w:lineRule="exact"/>
                            <w:rPr>
                              <w:b/>
                              <w:bCs/>
                              <w:caps/>
                              <w:sz w:val="14"/>
                              <w:szCs w:val="14"/>
                            </w:rPr>
                          </w:pPr>
                        </w:p>
                        <w:p w14:paraId="01B6F14B" w14:textId="77777777" w:rsidR="006B706B" w:rsidRDefault="006B706B" w:rsidP="00960C88">
                          <w:pPr>
                            <w:spacing w:line="176" w:lineRule="exact"/>
                            <w:rPr>
                              <w:b/>
                              <w:bCs/>
                              <w:caps/>
                              <w:sz w:val="14"/>
                              <w:szCs w:val="14"/>
                            </w:rPr>
                          </w:pPr>
                        </w:p>
                        <w:p w14:paraId="62538DE8" w14:textId="77777777" w:rsidR="005110E6" w:rsidRPr="004E0734" w:rsidRDefault="00425C96" w:rsidP="00273760">
                          <w:pPr>
                            <w:spacing w:line="180" w:lineRule="exact"/>
                            <w:ind w:left="85"/>
                            <w:rPr>
                              <w:rFonts w:ascii="Arial" w:hAnsi="Arial" w:cs="Arial"/>
                              <w:b/>
                              <w:bCs/>
                              <w:caps/>
                              <w:color w:val="999999"/>
                              <w:sz w:val="16"/>
                              <w:szCs w:val="16"/>
                            </w:rPr>
                          </w:pPr>
                          <w:r w:rsidRPr="004E0734">
                            <w:rPr>
                              <w:rFonts w:ascii="Arial" w:hAnsi="Arial" w:cs="Arial"/>
                              <w:b/>
                              <w:bCs/>
                              <w:caps/>
                              <w:sz w:val="16"/>
                              <w:szCs w:val="16"/>
                            </w:rPr>
                            <w:t>08</w:t>
                          </w:r>
                          <w:r w:rsidR="006B706B" w:rsidRPr="004E0734">
                            <w:rPr>
                              <w:rFonts w:ascii="Arial" w:hAnsi="Arial" w:cs="Arial"/>
                              <w:b/>
                              <w:bCs/>
                              <w:caps/>
                              <w:sz w:val="16"/>
                              <w:szCs w:val="16"/>
                            </w:rPr>
                            <w:t>LMU</w:t>
                          </w:r>
                          <w:r w:rsidR="006B706B" w:rsidRPr="004E0734">
                            <w:rPr>
                              <w:rFonts w:ascii="Arial" w:hAnsi="Arial" w:cs="Arial"/>
                              <w:b/>
                              <w:bCs/>
                              <w:caps/>
                              <w:color w:val="999999"/>
                              <w:sz w:val="16"/>
                              <w:szCs w:val="16"/>
                            </w:rPr>
                            <w:t>Mentoring</w:t>
                          </w:r>
                        </w:p>
                        <w:p w14:paraId="3A77D7F3" w14:textId="77777777" w:rsidR="006B706B" w:rsidRPr="006B706B" w:rsidRDefault="00203DE5" w:rsidP="005110E6">
                          <w:pPr>
                            <w:spacing w:line="176" w:lineRule="exact"/>
                            <w:ind w:left="85"/>
                            <w:rPr>
                              <w:b/>
                              <w:bCs/>
                              <w:sz w:val="14"/>
                              <w:szCs w:val="14"/>
                            </w:rPr>
                          </w:pPr>
                          <w:r w:rsidRPr="004E0734">
                            <w:rPr>
                              <w:rFonts w:ascii="Arial" w:hAnsi="Arial" w:cs="Arial"/>
                              <w:b/>
                              <w:bCs/>
                              <w:sz w:val="16"/>
                              <w:szCs w:val="16"/>
                            </w:rPr>
                            <w:t>Förderung des wissenschaftlichen Nachwuchses an der Tierärztlichen</w:t>
                          </w:r>
                          <w:ins w:id="2" w:author="Monika Rinder" w:date="2017-08-04T22:53:00Z">
                            <w:r w:rsidR="004E0734">
                              <w:rPr>
                                <w:rFonts w:ascii="Arial" w:hAnsi="Arial" w:cs="Arial"/>
                                <w:b/>
                                <w:bCs/>
                                <w:sz w:val="16"/>
                                <w:szCs w:val="16"/>
                              </w:rPr>
                              <w:t xml:space="preserve"> </w:t>
                            </w:r>
                          </w:ins>
                          <w:r w:rsidRPr="004E0734">
                            <w:rPr>
                              <w:rFonts w:ascii="Arial" w:hAnsi="Arial" w:cs="Arial"/>
                              <w:b/>
                              <w:bCs/>
                              <w:sz w:val="16"/>
                              <w:szCs w:val="16"/>
                            </w:rPr>
                            <w:t>Fakultät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78EE84" id="_x0000_t202" coordsize="21600,21600" o:spt="202" path="m,l,21600r21600,l21600,xe">
              <v:stroke joinstyle="miter"/>
              <v:path gradientshapeok="t" o:connecttype="rect"/>
            </v:shapetype>
            <v:shape id="Text Box 17" o:spid="_x0000_s1026" type="#_x0000_t202" style="position:absolute;margin-left:105pt;margin-top:35.85pt;width:250.35pt;height:58.4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" filled="f" stroked="f" strokeweight=".5pt">
              <v:textbox inset="0,0,0,0">
                <w:txbxContent>
                  <w:p w14:paraId="639D3073" w14:textId="77777777" w:rsidR="00203DE5" w:rsidRDefault="00203DE5" w:rsidP="006B706B">
                    <w:pPr>
                      <w:spacing w:line="176" w:lineRule="exact"/>
                      <w:rPr>
                        <w:b/>
                        <w:bCs/>
                        <w:caps/>
                        <w:sz w:val="14"/>
                        <w:szCs w:val="14"/>
                      </w:rPr>
                    </w:pPr>
                  </w:p>
                  <w:p w14:paraId="20589774" w14:textId="77777777" w:rsidR="00203DE5" w:rsidRDefault="00203DE5" w:rsidP="006B706B">
                    <w:pPr>
                      <w:spacing w:line="176" w:lineRule="exact"/>
                      <w:rPr>
                        <w:b/>
                        <w:bCs/>
                        <w:caps/>
                        <w:sz w:val="14"/>
                        <w:szCs w:val="14"/>
                      </w:rPr>
                    </w:pPr>
                  </w:p>
                  <w:p w14:paraId="01B6F14B" w14:textId="77777777" w:rsidR="006B706B" w:rsidRDefault="006B706B" w:rsidP="00960C88">
                    <w:pPr>
                      <w:spacing w:line="176" w:lineRule="exact"/>
                      <w:rPr>
                        <w:b/>
                        <w:bCs/>
                        <w:caps/>
                        <w:sz w:val="14"/>
                        <w:szCs w:val="14"/>
                      </w:rPr>
                    </w:pPr>
                  </w:p>
                  <w:p w14:paraId="62538DE8" w14:textId="77777777" w:rsidR="005110E6" w:rsidRPr="004E0734" w:rsidRDefault="00425C96" w:rsidP="00273760">
                    <w:pPr>
                      <w:spacing w:line="180" w:lineRule="exact"/>
                      <w:ind w:left="85"/>
                      <w:rPr>
                        <w:rFonts w:ascii="Arial" w:hAnsi="Arial" w:cs="Arial"/>
                        <w:b/>
                        <w:bCs/>
                        <w:caps/>
                        <w:color w:val="999999"/>
                        <w:sz w:val="16"/>
                        <w:szCs w:val="16"/>
                      </w:rPr>
                    </w:pPr>
                    <w:r w:rsidRPr="004E0734">
                      <w:rPr>
                        <w:rFonts w:ascii="Arial" w:hAnsi="Arial" w:cs="Arial"/>
                        <w:b/>
                        <w:bCs/>
                        <w:caps/>
                        <w:sz w:val="16"/>
                        <w:szCs w:val="16"/>
                      </w:rPr>
                      <w:t>08</w:t>
                    </w:r>
                    <w:r w:rsidR="006B706B" w:rsidRPr="004E0734">
                      <w:rPr>
                        <w:rFonts w:ascii="Arial" w:hAnsi="Arial" w:cs="Arial"/>
                        <w:b/>
                        <w:bCs/>
                        <w:caps/>
                        <w:sz w:val="16"/>
                        <w:szCs w:val="16"/>
                      </w:rPr>
                      <w:t>LMU</w:t>
                    </w:r>
                    <w:r w:rsidR="006B706B" w:rsidRPr="004E0734">
                      <w:rPr>
                        <w:rFonts w:ascii="Arial" w:hAnsi="Arial" w:cs="Arial"/>
                        <w:b/>
                        <w:bCs/>
                        <w:caps/>
                        <w:color w:val="999999"/>
                        <w:sz w:val="16"/>
                        <w:szCs w:val="16"/>
                      </w:rPr>
                      <w:t>Mentoring</w:t>
                    </w:r>
                  </w:p>
                  <w:p w14:paraId="3A77D7F3" w14:textId="77777777" w:rsidR="006B706B" w:rsidRPr="006B706B" w:rsidRDefault="00203DE5" w:rsidP="005110E6">
                    <w:pPr>
                      <w:spacing w:line="176" w:lineRule="exact"/>
                      <w:ind w:left="85"/>
                      <w:rPr>
                        <w:b/>
                        <w:bCs/>
                        <w:sz w:val="14"/>
                        <w:szCs w:val="14"/>
                      </w:rPr>
                    </w:pPr>
                    <w:r w:rsidRPr="004E0734">
                      <w:rPr>
                        <w:rFonts w:ascii="Arial" w:hAnsi="Arial" w:cs="Arial"/>
                        <w:b/>
                        <w:bCs/>
                        <w:sz w:val="16"/>
                        <w:szCs w:val="16"/>
                      </w:rPr>
                      <w:t>Förderung des wissenschaftlichen Nachwuchses an der Tierärztlichen</w:t>
                    </w:r>
                    <w:ins w:id="3" w:author="Monika Rinder" w:date="2017-08-04T22:53:00Z">
                      <w:r w:rsidR="004E0734">
                        <w:rPr>
                          <w:rFonts w:ascii="Arial" w:hAnsi="Arial" w:cs="Arial"/>
                          <w:b/>
                          <w:bCs/>
                          <w:sz w:val="16"/>
                          <w:szCs w:val="16"/>
                        </w:rPr>
                        <w:t xml:space="preserve"> </w:t>
                      </w:r>
                    </w:ins>
                    <w:r w:rsidRPr="004E0734">
                      <w:rPr>
                        <w:rFonts w:ascii="Arial" w:hAnsi="Arial" w:cs="Arial"/>
                        <w:b/>
                        <w:bCs/>
                        <w:sz w:val="16"/>
                        <w:szCs w:val="16"/>
                      </w:rPr>
                      <w:t>Fakultät</w:t>
                    </w:r>
                  </w:p>
                </w:txbxContent>
              </v:textbox>
              <w10:wrap anchorx="margin" anchory="page"/>
            </v:shape>
          </w:pict>
        </mc:Fallback>
      </mc:AlternateContent>
    </w:r>
    <w:r>
      <w:rPr>
        <w:noProof/>
      </w:rPr>
      <w:drawing>
        <wp:anchor distT="0" distB="0" distL="114300" distR="114300" simplePos="0" relativeHeight="251657216" behindDoc="1" locked="0" layoutInCell="1" allowOverlap="1" wp14:anchorId="4D62FEFE" wp14:editId="27A70570">
          <wp:simplePos x="0" y="0"/>
          <wp:positionH relativeFrom="page">
            <wp:posOffset>396240</wp:posOffset>
          </wp:positionH>
          <wp:positionV relativeFrom="page">
            <wp:posOffset>360045</wp:posOffset>
          </wp:positionV>
          <wp:extent cx="6767830" cy="830580"/>
          <wp:effectExtent l="0" t="0" r="0" b="7620"/>
          <wp:wrapNone/>
          <wp:docPr id="16" name="Bild 16" descr="A4_SW_120_Siege_transparent_m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A4_SW_120_Siege_transparent_m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7830" cy="8305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E1D91"/>
    <w:multiLevelType w:val="hybridMultilevel"/>
    <w:tmpl w:val="D4D23C5C"/>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31426302"/>
    <w:multiLevelType w:val="hybridMultilevel"/>
    <w:tmpl w:val="1B2CAE7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E0470ED"/>
    <w:multiLevelType w:val="hybridMultilevel"/>
    <w:tmpl w:val="FA0ADCA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CDB42B1"/>
    <w:multiLevelType w:val="multilevel"/>
    <w:tmpl w:val="4D32DC26"/>
    <w:lvl w:ilvl="0">
      <w:start w:val="1"/>
      <w:numFmt w:val="upperLetter"/>
      <w:lvlText w:val="%1"/>
      <w:lvlJc w:val="left"/>
      <w:pPr>
        <w:ind w:left="432" w:hanging="432"/>
      </w:pPr>
      <w:rPr>
        <w:rFonts w:ascii="Cambria" w:hAnsi="Cambria" w:hint="default"/>
      </w:rPr>
    </w:lvl>
    <w:lvl w:ilvl="1">
      <w:start w:val="1"/>
      <w:numFmt w:val="decimal"/>
      <w:lvlText w:val="%2"/>
      <w:lvlJc w:val="left"/>
      <w:pPr>
        <w:ind w:left="1143" w:hanging="576"/>
      </w:pPr>
      <w:rPr>
        <w:rFonts w:hint="default"/>
      </w:rPr>
    </w:lvl>
    <w:lvl w:ilvl="2">
      <w:start w:val="1"/>
      <w:numFmt w:val="decimal"/>
      <w:lvlText w:val="%2.%3"/>
      <w:lvlJc w:val="left"/>
      <w:pPr>
        <w:ind w:left="720" w:hanging="720"/>
      </w:pPr>
      <w:rPr>
        <w:rFonts w:hint="default"/>
      </w:rPr>
    </w:lvl>
    <w:lvl w:ilvl="3">
      <w:start w:val="1"/>
      <w:numFmt w:val="decimal"/>
      <w:lvlText w:val="%2.%3.%4"/>
      <w:lvlJc w:val="left"/>
      <w:pPr>
        <w:ind w:left="864" w:hanging="864"/>
      </w:pPr>
      <w:rPr>
        <w:rFonts w:hint="default"/>
      </w:rPr>
    </w:lvl>
    <w:lvl w:ilvl="4">
      <w:start w:val="1"/>
      <w:numFmt w:val="none"/>
      <w:lvlText w:val=""/>
      <w:lvlJc w:val="left"/>
      <w:pPr>
        <w:ind w:left="1008" w:hanging="1008"/>
      </w:pPr>
      <w:rPr>
        <w:rFonts w:hint="default"/>
        <w:u w:val="single"/>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2"/>
  </w:num>
  <w:num w:numId="2">
    <w:abstractNumId w:val="1"/>
  </w:num>
  <w:num w:numId="3">
    <w:abstractNumId w:val="0"/>
  </w:num>
  <w:num w:numId="4">
    <w:abstractNumId w:val="3"/>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onika Rinder">
    <w15:presenceInfo w15:providerId="Windows Live" w15:userId="e01ae737a6636be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8"/>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0BD5"/>
    <w:rsid w:val="00021E73"/>
    <w:rsid w:val="00021ED0"/>
    <w:rsid w:val="00074EA0"/>
    <w:rsid w:val="000823D0"/>
    <w:rsid w:val="00085019"/>
    <w:rsid w:val="000928A8"/>
    <w:rsid w:val="000A29E7"/>
    <w:rsid w:val="000B372E"/>
    <w:rsid w:val="000B4FD8"/>
    <w:rsid w:val="000B6C1E"/>
    <w:rsid w:val="000C6AD8"/>
    <w:rsid w:val="000E1FAE"/>
    <w:rsid w:val="000E66D6"/>
    <w:rsid w:val="00127794"/>
    <w:rsid w:val="001518B2"/>
    <w:rsid w:val="00157657"/>
    <w:rsid w:val="001636D3"/>
    <w:rsid w:val="00173C75"/>
    <w:rsid w:val="00185D7D"/>
    <w:rsid w:val="0019717A"/>
    <w:rsid w:val="00197B44"/>
    <w:rsid w:val="001C2C5F"/>
    <w:rsid w:val="001E7351"/>
    <w:rsid w:val="001F0A63"/>
    <w:rsid w:val="00203DE5"/>
    <w:rsid w:val="002177FB"/>
    <w:rsid w:val="002224C5"/>
    <w:rsid w:val="00225374"/>
    <w:rsid w:val="00232C21"/>
    <w:rsid w:val="00250C5C"/>
    <w:rsid w:val="002511B0"/>
    <w:rsid w:val="00263C40"/>
    <w:rsid w:val="00265D0C"/>
    <w:rsid w:val="00273760"/>
    <w:rsid w:val="0028766A"/>
    <w:rsid w:val="002D20BB"/>
    <w:rsid w:val="002F2427"/>
    <w:rsid w:val="002F377D"/>
    <w:rsid w:val="003011A5"/>
    <w:rsid w:val="00314FB2"/>
    <w:rsid w:val="00331B73"/>
    <w:rsid w:val="00345B8B"/>
    <w:rsid w:val="0035757E"/>
    <w:rsid w:val="0036341C"/>
    <w:rsid w:val="00387954"/>
    <w:rsid w:val="00392C5D"/>
    <w:rsid w:val="003B4909"/>
    <w:rsid w:val="003C07B7"/>
    <w:rsid w:val="003E3793"/>
    <w:rsid w:val="00410525"/>
    <w:rsid w:val="00413023"/>
    <w:rsid w:val="004258EA"/>
    <w:rsid w:val="00425C96"/>
    <w:rsid w:val="0045670F"/>
    <w:rsid w:val="004C4B22"/>
    <w:rsid w:val="004E0734"/>
    <w:rsid w:val="005075A9"/>
    <w:rsid w:val="005110E6"/>
    <w:rsid w:val="005142D6"/>
    <w:rsid w:val="005276F1"/>
    <w:rsid w:val="00537E60"/>
    <w:rsid w:val="0057056D"/>
    <w:rsid w:val="00577BB6"/>
    <w:rsid w:val="0058656C"/>
    <w:rsid w:val="005B284B"/>
    <w:rsid w:val="005C2D02"/>
    <w:rsid w:val="005C6243"/>
    <w:rsid w:val="005F08C8"/>
    <w:rsid w:val="006107A5"/>
    <w:rsid w:val="00610903"/>
    <w:rsid w:val="00622238"/>
    <w:rsid w:val="006278B5"/>
    <w:rsid w:val="00667964"/>
    <w:rsid w:val="00684641"/>
    <w:rsid w:val="006858EC"/>
    <w:rsid w:val="006B706B"/>
    <w:rsid w:val="006E0A80"/>
    <w:rsid w:val="006F542A"/>
    <w:rsid w:val="00704CBF"/>
    <w:rsid w:val="0072242C"/>
    <w:rsid w:val="00730BD5"/>
    <w:rsid w:val="00736548"/>
    <w:rsid w:val="0075269F"/>
    <w:rsid w:val="00784F0E"/>
    <w:rsid w:val="007A1585"/>
    <w:rsid w:val="007B672F"/>
    <w:rsid w:val="007D6083"/>
    <w:rsid w:val="007F0FE4"/>
    <w:rsid w:val="00825E4A"/>
    <w:rsid w:val="00831965"/>
    <w:rsid w:val="00842C82"/>
    <w:rsid w:val="008537A8"/>
    <w:rsid w:val="00873160"/>
    <w:rsid w:val="008911E2"/>
    <w:rsid w:val="008B394A"/>
    <w:rsid w:val="008C6D7B"/>
    <w:rsid w:val="008D5640"/>
    <w:rsid w:val="008E1767"/>
    <w:rsid w:val="008E74C0"/>
    <w:rsid w:val="00905F1A"/>
    <w:rsid w:val="00907697"/>
    <w:rsid w:val="009307D9"/>
    <w:rsid w:val="00943B7E"/>
    <w:rsid w:val="00960C88"/>
    <w:rsid w:val="009708CF"/>
    <w:rsid w:val="00971B7E"/>
    <w:rsid w:val="009748C9"/>
    <w:rsid w:val="00976893"/>
    <w:rsid w:val="00977BE7"/>
    <w:rsid w:val="00993F76"/>
    <w:rsid w:val="009D6040"/>
    <w:rsid w:val="009E0FFB"/>
    <w:rsid w:val="009F062E"/>
    <w:rsid w:val="009F1C26"/>
    <w:rsid w:val="00A01F20"/>
    <w:rsid w:val="00A26EFB"/>
    <w:rsid w:val="00A3638F"/>
    <w:rsid w:val="00A4297A"/>
    <w:rsid w:val="00AA0092"/>
    <w:rsid w:val="00AA7095"/>
    <w:rsid w:val="00AC69B6"/>
    <w:rsid w:val="00B03F63"/>
    <w:rsid w:val="00B120EE"/>
    <w:rsid w:val="00B14451"/>
    <w:rsid w:val="00B25BD3"/>
    <w:rsid w:val="00B34F26"/>
    <w:rsid w:val="00B84F00"/>
    <w:rsid w:val="00B9446C"/>
    <w:rsid w:val="00BB06D9"/>
    <w:rsid w:val="00BD4941"/>
    <w:rsid w:val="00BE1DF5"/>
    <w:rsid w:val="00C003D9"/>
    <w:rsid w:val="00C20FB7"/>
    <w:rsid w:val="00C322A9"/>
    <w:rsid w:val="00C34124"/>
    <w:rsid w:val="00C636E7"/>
    <w:rsid w:val="00CA45B2"/>
    <w:rsid w:val="00CC2ACA"/>
    <w:rsid w:val="00CC5925"/>
    <w:rsid w:val="00CE3F45"/>
    <w:rsid w:val="00D34E53"/>
    <w:rsid w:val="00D50809"/>
    <w:rsid w:val="00D76A94"/>
    <w:rsid w:val="00D80BB0"/>
    <w:rsid w:val="00D86052"/>
    <w:rsid w:val="00D861BD"/>
    <w:rsid w:val="00D87100"/>
    <w:rsid w:val="00DB6967"/>
    <w:rsid w:val="00DC540B"/>
    <w:rsid w:val="00DC7777"/>
    <w:rsid w:val="00DE0AD6"/>
    <w:rsid w:val="00DE2BE5"/>
    <w:rsid w:val="00DF70C9"/>
    <w:rsid w:val="00E15E9D"/>
    <w:rsid w:val="00E222E5"/>
    <w:rsid w:val="00E27C18"/>
    <w:rsid w:val="00E62FD6"/>
    <w:rsid w:val="00E632C7"/>
    <w:rsid w:val="00E80FFF"/>
    <w:rsid w:val="00E857F4"/>
    <w:rsid w:val="00E93733"/>
    <w:rsid w:val="00EA65F5"/>
    <w:rsid w:val="00EB6EDD"/>
    <w:rsid w:val="00EC1DB9"/>
    <w:rsid w:val="00EE453F"/>
    <w:rsid w:val="00F16EBD"/>
    <w:rsid w:val="00F5233D"/>
    <w:rsid w:val="00F57316"/>
    <w:rsid w:val="00F67301"/>
    <w:rsid w:val="00F72016"/>
    <w:rsid w:val="00F8770C"/>
    <w:rsid w:val="00FA27B1"/>
    <w:rsid w:val="00FD600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7803968"/>
  <w15:chartTrackingRefBased/>
  <w15:docId w15:val="{7567BA53-E021-4B35-ADF2-6A9E0F15E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Standard">
    <w:name w:val="Normal"/>
    <w:qFormat/>
    <w:pPr>
      <w:spacing w:line="240" w:lineRule="exact"/>
    </w:pPr>
    <w:rPr>
      <w:rFonts w:ascii="LMU CompatilFact" w:hAnsi="LMU CompatilFact"/>
      <w:spacing w:val="12"/>
      <w:sz w:val="22"/>
      <w:szCs w:val="22"/>
    </w:rPr>
  </w:style>
  <w:style w:type="paragraph" w:styleId="berschrift1">
    <w:name w:val="heading 1"/>
    <w:basedOn w:val="Standard"/>
    <w:next w:val="Standard"/>
    <w:uiPriority w:val="9"/>
    <w:qFormat/>
    <w:pPr>
      <w:keepNext/>
      <w:spacing w:before="240" w:after="60"/>
      <w:outlineLvl w:val="0"/>
    </w:pPr>
    <w:rPr>
      <w:b/>
      <w:bCs/>
      <w:kern w:val="32"/>
      <w:sz w:val="32"/>
      <w:szCs w:val="32"/>
    </w:rPr>
  </w:style>
  <w:style w:type="paragraph" w:styleId="berschrift2">
    <w:name w:val="heading 2"/>
    <w:basedOn w:val="Standard"/>
    <w:next w:val="Standard"/>
    <w:uiPriority w:val="9"/>
    <w:qFormat/>
    <w:pPr>
      <w:keepNext/>
      <w:spacing w:before="240" w:after="60"/>
      <w:outlineLvl w:val="1"/>
    </w:pPr>
    <w:rPr>
      <w:b/>
      <w:bCs/>
      <w:i/>
      <w:iCs/>
      <w:sz w:val="28"/>
      <w:szCs w:val="28"/>
    </w:rPr>
  </w:style>
  <w:style w:type="paragraph" w:styleId="berschrift3">
    <w:name w:val="heading 3"/>
    <w:basedOn w:val="Standard"/>
    <w:next w:val="Standard"/>
    <w:uiPriority w:val="9"/>
    <w:qFormat/>
    <w:pPr>
      <w:keepNext/>
      <w:spacing w:before="240" w:after="60"/>
      <w:outlineLvl w:val="2"/>
    </w:pPr>
    <w:rPr>
      <w:b/>
      <w:bCs/>
      <w:sz w:val="26"/>
      <w:szCs w:val="26"/>
    </w:rPr>
  </w:style>
  <w:style w:type="paragraph" w:styleId="berschrift4">
    <w:name w:val="heading 4"/>
    <w:basedOn w:val="Standard"/>
    <w:next w:val="Standard"/>
    <w:link w:val="berschrift4Zchn"/>
    <w:uiPriority w:val="9"/>
    <w:qFormat/>
    <w:rsid w:val="009F1C26"/>
    <w:pPr>
      <w:keepNext/>
      <w:spacing w:before="240" w:after="120" w:line="360" w:lineRule="auto"/>
      <w:ind w:left="1573" w:hanging="864"/>
      <w:jc w:val="both"/>
      <w:outlineLvl w:val="3"/>
    </w:pPr>
    <w:rPr>
      <w:rFonts w:ascii="Cambria" w:eastAsia="Cambria" w:hAnsi="Cambria"/>
      <w:bCs/>
      <w:spacing w:val="0"/>
      <w:szCs w:val="28"/>
      <w:u w:val="single"/>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customStyle="1" w:styleId="absendertext">
    <w:name w:val="absender text"/>
    <w:basedOn w:val="Standard"/>
    <w:pPr>
      <w:tabs>
        <w:tab w:val="left" w:pos="397"/>
      </w:tabs>
      <w:spacing w:line="180" w:lineRule="exact"/>
    </w:pPr>
    <w:rPr>
      <w:spacing w:val="8"/>
      <w:sz w:val="14"/>
      <w:szCs w:val="14"/>
    </w:rPr>
  </w:style>
  <w:style w:type="paragraph" w:customStyle="1" w:styleId="Boxentext">
    <w:name w:val="Boxentext"/>
    <w:basedOn w:val="Standard"/>
    <w:pPr>
      <w:spacing w:line="180" w:lineRule="exact"/>
      <w:ind w:left="3005"/>
    </w:pPr>
    <w:rPr>
      <w:b/>
      <w:bCs/>
      <w:caps/>
      <w:sz w:val="14"/>
      <w:szCs w:val="14"/>
    </w:rPr>
  </w:style>
  <w:style w:type="paragraph" w:customStyle="1" w:styleId="Absenderzeile">
    <w:name w:val="Absenderzeile"/>
    <w:basedOn w:val="Standard"/>
    <w:rPr>
      <w:spacing w:val="6"/>
      <w:sz w:val="12"/>
      <w:szCs w:val="12"/>
    </w:rPr>
  </w:style>
  <w:style w:type="paragraph" w:customStyle="1" w:styleId="AbsenderName">
    <w:name w:val="Absender Name"/>
    <w:basedOn w:val="absendertext"/>
    <w:rPr>
      <w:b/>
      <w:bCs/>
      <w:caps/>
    </w:rPr>
  </w:style>
  <w:style w:type="table" w:styleId="Tabellenraster">
    <w:name w:val="Table Grid"/>
    <w:basedOn w:val="NormaleTabelle"/>
    <w:rsid w:val="00831965"/>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Pr>
      <w:color w:val="0000FF"/>
      <w:u w:val="single"/>
    </w:rPr>
  </w:style>
  <w:style w:type="paragraph" w:styleId="Sprechblasentext">
    <w:name w:val="Balloon Text"/>
    <w:basedOn w:val="Standard"/>
    <w:semiHidden/>
    <w:rPr>
      <w:rFonts w:ascii="Tahoma" w:hAnsi="Tahoma" w:cs="Tahoma"/>
      <w:sz w:val="16"/>
      <w:szCs w:val="16"/>
    </w:rPr>
  </w:style>
  <w:style w:type="paragraph" w:customStyle="1" w:styleId="MittleresRaster1-Akzent21">
    <w:name w:val="Mittleres Raster 1 - Akzent 21"/>
    <w:basedOn w:val="Standard"/>
    <w:uiPriority w:val="34"/>
    <w:qFormat/>
    <w:rsid w:val="00B84F00"/>
    <w:pPr>
      <w:ind w:left="708"/>
    </w:pPr>
  </w:style>
  <w:style w:type="character" w:styleId="Kommentarzeichen">
    <w:name w:val="annotation reference"/>
    <w:uiPriority w:val="99"/>
    <w:rsid w:val="00C322A9"/>
    <w:rPr>
      <w:sz w:val="18"/>
      <w:szCs w:val="18"/>
    </w:rPr>
  </w:style>
  <w:style w:type="paragraph" w:styleId="Kommentartext">
    <w:name w:val="annotation text"/>
    <w:basedOn w:val="Standard"/>
    <w:link w:val="KommentartextZchn"/>
    <w:uiPriority w:val="99"/>
    <w:rsid w:val="00C322A9"/>
    <w:rPr>
      <w:sz w:val="24"/>
      <w:szCs w:val="24"/>
    </w:rPr>
  </w:style>
  <w:style w:type="character" w:customStyle="1" w:styleId="KommentartextZchn">
    <w:name w:val="Kommentartext Zchn"/>
    <w:link w:val="Kommentartext"/>
    <w:uiPriority w:val="99"/>
    <w:rsid w:val="00C322A9"/>
    <w:rPr>
      <w:rFonts w:ascii="LMU CompatilFact" w:hAnsi="LMU CompatilFact"/>
      <w:spacing w:val="12"/>
      <w:sz w:val="24"/>
      <w:szCs w:val="24"/>
    </w:rPr>
  </w:style>
  <w:style w:type="paragraph" w:styleId="Kommentarthema">
    <w:name w:val="annotation subject"/>
    <w:basedOn w:val="Kommentartext"/>
    <w:next w:val="Kommentartext"/>
    <w:link w:val="KommentarthemaZchn"/>
    <w:rsid w:val="00C322A9"/>
    <w:rPr>
      <w:b/>
      <w:bCs/>
      <w:sz w:val="20"/>
      <w:szCs w:val="20"/>
    </w:rPr>
  </w:style>
  <w:style w:type="character" w:customStyle="1" w:styleId="KommentarthemaZchn">
    <w:name w:val="Kommentarthema Zchn"/>
    <w:link w:val="Kommentarthema"/>
    <w:rsid w:val="00C322A9"/>
    <w:rPr>
      <w:rFonts w:ascii="LMU CompatilFact" w:hAnsi="LMU CompatilFact"/>
      <w:b/>
      <w:bCs/>
      <w:spacing w:val="12"/>
      <w:sz w:val="24"/>
      <w:szCs w:val="24"/>
    </w:rPr>
  </w:style>
  <w:style w:type="paragraph" w:styleId="Funotentext">
    <w:name w:val="footnote text"/>
    <w:basedOn w:val="Standard"/>
    <w:link w:val="FunotentextZchn"/>
    <w:rsid w:val="00B120EE"/>
    <w:rPr>
      <w:sz w:val="24"/>
      <w:szCs w:val="24"/>
    </w:rPr>
  </w:style>
  <w:style w:type="character" w:customStyle="1" w:styleId="FunotentextZchn">
    <w:name w:val="Fußnotentext Zchn"/>
    <w:link w:val="Funotentext"/>
    <w:rsid w:val="00B120EE"/>
    <w:rPr>
      <w:rFonts w:ascii="LMU CompatilFact" w:hAnsi="LMU CompatilFact"/>
      <w:spacing w:val="12"/>
      <w:sz w:val="24"/>
      <w:szCs w:val="24"/>
    </w:rPr>
  </w:style>
  <w:style w:type="character" w:styleId="Funotenzeichen">
    <w:name w:val="footnote reference"/>
    <w:rsid w:val="00B120EE"/>
    <w:rPr>
      <w:vertAlign w:val="superscript"/>
    </w:rPr>
  </w:style>
  <w:style w:type="character" w:customStyle="1" w:styleId="berschrift4Zchn">
    <w:name w:val="Überschrift 4 Zchn"/>
    <w:basedOn w:val="Absatz-Standardschriftart"/>
    <w:link w:val="berschrift4"/>
    <w:uiPriority w:val="9"/>
    <w:rsid w:val="009F1C26"/>
    <w:rPr>
      <w:rFonts w:ascii="Cambria" w:eastAsia="Cambria" w:hAnsi="Cambria"/>
      <w:bCs/>
      <w:sz w:val="22"/>
      <w:szCs w:val="28"/>
      <w:u w:val="single"/>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6832895">
      <w:bodyDiv w:val="1"/>
      <w:marLeft w:val="0"/>
      <w:marRight w:val="0"/>
      <w:marTop w:val="0"/>
      <w:marBottom w:val="0"/>
      <w:divBdr>
        <w:top w:val="none" w:sz="0" w:space="0" w:color="auto"/>
        <w:left w:val="none" w:sz="0" w:space="0" w:color="auto"/>
        <w:bottom w:val="none" w:sz="0" w:space="0" w:color="auto"/>
        <w:right w:val="none" w:sz="0" w:space="0" w:color="auto"/>
      </w:divBdr>
    </w:div>
    <w:div w:id="1448040935">
      <w:bodyDiv w:val="1"/>
      <w:marLeft w:val="0"/>
      <w:marRight w:val="0"/>
      <w:marTop w:val="0"/>
      <w:marBottom w:val="0"/>
      <w:divBdr>
        <w:top w:val="none" w:sz="0" w:space="0" w:color="auto"/>
        <w:left w:val="none" w:sz="0" w:space="0" w:color="auto"/>
        <w:bottom w:val="none" w:sz="0" w:space="0" w:color="auto"/>
        <w:right w:val="none" w:sz="0" w:space="0" w:color="auto"/>
      </w:divBdr>
    </w:div>
    <w:div w:id="1800489639">
      <w:bodyDiv w:val="1"/>
      <w:marLeft w:val="0"/>
      <w:marRight w:val="0"/>
      <w:marTop w:val="0"/>
      <w:marBottom w:val="0"/>
      <w:divBdr>
        <w:top w:val="none" w:sz="0" w:space="0" w:color="auto"/>
        <w:left w:val="none" w:sz="0" w:space="0" w:color="auto"/>
        <w:bottom w:val="none" w:sz="0" w:space="0" w:color="auto"/>
        <w:right w:val="none" w:sz="0" w:space="0" w:color="auto"/>
      </w:divBdr>
      <w:divsChild>
        <w:div w:id="78521582">
          <w:marLeft w:val="0"/>
          <w:marRight w:val="0"/>
          <w:marTop w:val="0"/>
          <w:marBottom w:val="0"/>
          <w:divBdr>
            <w:top w:val="none" w:sz="0" w:space="0" w:color="auto"/>
            <w:left w:val="none" w:sz="0" w:space="0" w:color="auto"/>
            <w:bottom w:val="none" w:sz="0" w:space="0" w:color="auto"/>
            <w:right w:val="none" w:sz="0" w:space="0" w:color="auto"/>
          </w:divBdr>
        </w:div>
        <w:div w:id="666443490">
          <w:marLeft w:val="0"/>
          <w:marRight w:val="0"/>
          <w:marTop w:val="0"/>
          <w:marBottom w:val="0"/>
          <w:divBdr>
            <w:top w:val="none" w:sz="0" w:space="0" w:color="auto"/>
            <w:left w:val="none" w:sz="0" w:space="0" w:color="auto"/>
            <w:bottom w:val="none" w:sz="0" w:space="0" w:color="auto"/>
            <w:right w:val="none" w:sz="0" w:space="0" w:color="auto"/>
          </w:divBdr>
        </w:div>
        <w:div w:id="1210188619">
          <w:marLeft w:val="0"/>
          <w:marRight w:val="0"/>
          <w:marTop w:val="0"/>
          <w:marBottom w:val="0"/>
          <w:divBdr>
            <w:top w:val="none" w:sz="0" w:space="0" w:color="auto"/>
            <w:left w:val="none" w:sz="0" w:space="0" w:color="auto"/>
            <w:bottom w:val="none" w:sz="0" w:space="0" w:color="auto"/>
            <w:right w:val="none" w:sz="0" w:space="0" w:color="auto"/>
          </w:divBdr>
        </w:div>
        <w:div w:id="1340961863">
          <w:marLeft w:val="0"/>
          <w:marRight w:val="0"/>
          <w:marTop w:val="0"/>
          <w:marBottom w:val="0"/>
          <w:divBdr>
            <w:top w:val="none" w:sz="0" w:space="0" w:color="auto"/>
            <w:left w:val="none" w:sz="0" w:space="0" w:color="auto"/>
            <w:bottom w:val="none" w:sz="0" w:space="0" w:color="auto"/>
            <w:right w:val="none" w:sz="0" w:space="0" w:color="auto"/>
          </w:divBdr>
        </w:div>
        <w:div w:id="1525704502">
          <w:marLeft w:val="0"/>
          <w:marRight w:val="0"/>
          <w:marTop w:val="0"/>
          <w:marBottom w:val="0"/>
          <w:divBdr>
            <w:top w:val="none" w:sz="0" w:space="0" w:color="auto"/>
            <w:left w:val="none" w:sz="0" w:space="0" w:color="auto"/>
            <w:bottom w:val="none" w:sz="0" w:space="0" w:color="auto"/>
            <w:right w:val="none" w:sz="0" w:space="0" w:color="auto"/>
          </w:divBdr>
        </w:div>
        <w:div w:id="20485569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fg.de/foerderung/grundlagen_rahmenbedingungen/diversity_wissenschaft/diversity_allg/index.html" TargetMode="Externa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http://www.dfg.de/foerderung/grundlagen_rahmenbedingungen/chancengleichheit/forschungsorietierte_standard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wissenschaftsrat.de/download/archiv/2218-12.pdf"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Netzwerkfreigabe\Daten\Mentoring\Mentoring_Vereinbarung.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Mentoring_Vereinbarung</Template>
  <TotalTime>0</TotalTime>
  <Pages>4</Pages>
  <Words>1230</Words>
  <Characters>9380</Characters>
  <Application>Microsoft Office Word</Application>
  <DocSecurity>0</DocSecurity>
  <Lines>78</Lines>
  <Paragraphs>21</Paragraphs>
  <ScaleCrop>false</ScaleCrop>
  <HeadingPairs>
    <vt:vector size="2" baseType="variant">
      <vt:variant>
        <vt:lpstr>Titel</vt:lpstr>
      </vt:variant>
      <vt:variant>
        <vt:i4>1</vt:i4>
      </vt:variant>
    </vt:vector>
  </HeadingPairs>
  <TitlesOfParts>
    <vt:vector size="1" baseType="lpstr">
      <vt:lpstr>Vorlage Titelblatt DIN A4 mit Siegel</vt:lpstr>
    </vt:vector>
  </TitlesOfParts>
  <Company>LMU - Zentrale Verwaltung</Company>
  <LinksUpToDate>false</LinksUpToDate>
  <CharactersWithSpaces>10589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Vorlage Titelblatt DIN A4 mit Siegel</dc:title>
  <dc:subject>Corporate Design</dc:subject>
  <dc:creator>Frauen1</dc:creator>
  <cp:keywords/>
  <dc:description>Version 1.3 (August 2006)</dc:description>
  <cp:lastModifiedBy>Ellen Kienzle</cp:lastModifiedBy>
  <cp:revision>6</cp:revision>
  <cp:lastPrinted>2017-09-19T06:07:00Z</cp:lastPrinted>
  <dcterms:created xsi:type="dcterms:W3CDTF">2018-07-04T08:04:00Z</dcterms:created>
  <dcterms:modified xsi:type="dcterms:W3CDTF">2018-08-28T08:05:00Z</dcterms:modified>
</cp:coreProperties>
</file>