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89C23" w14:textId="35A4CC92" w:rsidR="00717A1D" w:rsidRPr="005A24B3" w:rsidRDefault="006E59A3" w:rsidP="00455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Theme="minorHAnsi" w:hAnsi="Times New Roman" w:cs="Times New Roman"/>
          <w:b/>
          <w:kern w:val="2"/>
          <w:sz w:val="22"/>
          <w:szCs w:val="22"/>
          <w:lang w:eastAsia="en-US" w:bidi="ar-SA"/>
          <w14:ligatures w14:val="standardContextual"/>
        </w:rPr>
      </w:pPr>
      <w:r w:rsidRPr="005A24B3">
        <w:rPr>
          <w:rFonts w:ascii="Times New Roman" w:eastAsiaTheme="minorHAnsi" w:hAnsi="Times New Roman" w:cs="Times New Roman"/>
          <w:b/>
          <w:kern w:val="2"/>
          <w:sz w:val="22"/>
          <w:szCs w:val="22"/>
          <w:lang w:eastAsia="en-US" w:bidi="ar-SA"/>
          <w14:ligatures w14:val="standardContextual"/>
        </w:rPr>
        <w:t>Anhang 2: Erläuterungen zu wichtigen Begriffen</w:t>
      </w:r>
    </w:p>
    <w:p w14:paraId="587A164F" w14:textId="77777777" w:rsidR="00717A1D" w:rsidRPr="00AE5B8A" w:rsidRDefault="00717A1D" w:rsidP="00C43A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Arial" w:hAnsi="Times New Roman" w:cs="Times New Roman"/>
          <w:i/>
          <w:spacing w:val="12"/>
          <w:sz w:val="22"/>
          <w:szCs w:val="22"/>
        </w:rPr>
      </w:pPr>
    </w:p>
    <w:p w14:paraId="7E9C67E7" w14:textId="2D141650" w:rsidR="00AE5B8A" w:rsidRPr="005A24B3" w:rsidRDefault="00AE5B8A" w:rsidP="00AE5B8A">
      <w:pPr>
        <w:pStyle w:val="Listenabsatz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Theme="minorHAnsi" w:hAnsi="Times New Roman" w:cs="Times New Roman"/>
          <w:b/>
          <w:kern w:val="2"/>
          <w:sz w:val="22"/>
          <w:szCs w:val="22"/>
          <w:lang w:eastAsia="en-US" w:bidi="ar-SA"/>
          <w14:ligatures w14:val="standardContextual"/>
        </w:rPr>
      </w:pPr>
      <w:bookmarkStart w:id="0" w:name="OLE_LINK9"/>
      <w:bookmarkStart w:id="1" w:name="OLE_LINK10"/>
      <w:r w:rsidRPr="005A24B3">
        <w:rPr>
          <w:rFonts w:ascii="Times New Roman" w:eastAsiaTheme="minorHAnsi" w:hAnsi="Times New Roman" w:cs="Times New Roman"/>
          <w:b/>
          <w:kern w:val="2"/>
          <w:sz w:val="22"/>
          <w:szCs w:val="22"/>
          <w:lang w:eastAsia="en-US" w:bidi="ar-SA"/>
          <w14:ligatures w14:val="standardContextual"/>
        </w:rPr>
        <w:t>Typen von Daten</w:t>
      </w:r>
    </w:p>
    <w:p w14:paraId="6FE85B25" w14:textId="38F3DE1A" w:rsidR="00113C74" w:rsidRPr="005A24B3" w:rsidRDefault="00113C74" w:rsidP="00455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 xml:space="preserve">Die Begriffe </w:t>
      </w:r>
      <w:r w:rsidRPr="005A24B3">
        <w:rPr>
          <w:rFonts w:ascii="Times New Roman" w:eastAsiaTheme="minorHAnsi" w:hAnsi="Times New Roman" w:cs="Times New Roman"/>
          <w:b/>
          <w:kern w:val="2"/>
          <w:sz w:val="22"/>
          <w:szCs w:val="22"/>
          <w:lang w:eastAsia="en-US" w:bidi="ar-SA"/>
          <w14:ligatures w14:val="standardContextual"/>
        </w:rPr>
        <w:t>„personenbezogen“, „pseudonymisiert“ und „anonymisiert“</w:t>
      </w:r>
      <w:r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 xml:space="preserve"> werden hier verwen</w:t>
      </w:r>
      <w:r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softHyphen/>
        <w:t>det wie in der DSGVO (insbes. Artikel 4 sowie Erwägungsgrund 26) definiert.</w:t>
      </w:r>
    </w:p>
    <w:p w14:paraId="19112002" w14:textId="65023D60" w:rsidR="006E59A3" w:rsidRPr="00AE5B8A" w:rsidRDefault="006E59A3" w:rsidP="00455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76CA0558" w14:textId="58452FFB" w:rsidR="006E59A3" w:rsidRPr="005A24B3" w:rsidRDefault="006E59A3" w:rsidP="00455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 xml:space="preserve">Bei </w:t>
      </w:r>
      <w:r w:rsidRPr="005A24B3">
        <w:rPr>
          <w:rFonts w:ascii="Times New Roman" w:eastAsiaTheme="minorHAnsi" w:hAnsi="Times New Roman" w:cs="Times New Roman"/>
          <w:b/>
          <w:kern w:val="2"/>
          <w:sz w:val="22"/>
          <w:szCs w:val="22"/>
          <w:lang w:eastAsia="en-US" w:bidi="ar-SA"/>
          <w14:ligatures w14:val="standardContextual"/>
        </w:rPr>
        <w:t>personenbezogenen</w:t>
      </w:r>
      <w:r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 xml:space="preserve"> Daten handelt es sich um alle Informationen, die sich auf eine identifizierte oder identifizierbare natürliche Person beziehen.</w:t>
      </w:r>
    </w:p>
    <w:p w14:paraId="5FB6CF21" w14:textId="3293F7AF" w:rsidR="006E59A3" w:rsidRPr="005A24B3" w:rsidRDefault="006E59A3" w:rsidP="00455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5A24B3">
        <w:rPr>
          <w:rFonts w:ascii="Times New Roman" w:eastAsiaTheme="minorHAnsi" w:hAnsi="Times New Roman" w:cs="Times New Roman"/>
          <w:b/>
          <w:kern w:val="2"/>
          <w:sz w:val="22"/>
          <w:szCs w:val="22"/>
          <w:lang w:eastAsia="en-US" w:bidi="ar-SA"/>
          <w14:ligatures w14:val="standardContextual"/>
        </w:rPr>
        <w:t>Pseudonymisierung</w:t>
      </w:r>
      <w:r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 xml:space="preserve"> bezeichnet die Verarbeitung personenbezogener Daten in einer Weise, dass die personenbezogenen Daten </w:t>
      </w:r>
      <w:r w:rsidRPr="005A24B3">
        <w:rPr>
          <w:rFonts w:ascii="Times New Roman" w:eastAsiaTheme="minorHAnsi" w:hAnsi="Times New Roman" w:cs="Times New Roman"/>
          <w:b/>
          <w:kern w:val="2"/>
          <w:sz w:val="22"/>
          <w:szCs w:val="22"/>
          <w:lang w:eastAsia="en-US" w:bidi="ar-SA"/>
          <w14:ligatures w14:val="standardContextual"/>
        </w:rPr>
        <w:t>ohne Hinzuziehung zusätzlicher Informationen</w:t>
      </w:r>
      <w:r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 xml:space="preserve"> nicht mehr einer spezifischen Person zugeordnet werden können. Diese zusätzliche Information ist </w:t>
      </w:r>
      <w:r w:rsidR="00C43A66"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>üblicherweise</w:t>
      </w:r>
      <w:r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 xml:space="preserve"> eine </w:t>
      </w:r>
      <w:r w:rsidRPr="005A24B3">
        <w:rPr>
          <w:rFonts w:ascii="Times New Roman" w:eastAsiaTheme="minorHAnsi" w:hAnsi="Times New Roman" w:cs="Times New Roman"/>
          <w:b/>
          <w:kern w:val="2"/>
          <w:sz w:val="22"/>
          <w:szCs w:val="22"/>
          <w:lang w:eastAsia="en-US" w:bidi="ar-SA"/>
          <w14:ligatures w14:val="standardContextual"/>
        </w:rPr>
        <w:t xml:space="preserve">Zuordnungsliste </w:t>
      </w:r>
      <w:r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>zwischen dem Pseudonym, unter dem die Forschungsdaten gespeichert werden, und dem Namen und/oder den Kontaktdaten der Person.</w:t>
      </w:r>
      <w:r w:rsidR="007C0259"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 xml:space="preserve"> Unter </w:t>
      </w:r>
      <w:r w:rsidR="007C0259" w:rsidRPr="005A24B3">
        <w:rPr>
          <w:rFonts w:ascii="Times New Roman" w:eastAsiaTheme="minorHAnsi" w:hAnsi="Times New Roman" w:cs="Times New Roman"/>
          <w:b/>
          <w:kern w:val="2"/>
          <w:sz w:val="22"/>
          <w:szCs w:val="22"/>
          <w:lang w:eastAsia="en-US" w:bidi="ar-SA"/>
          <w14:ligatures w14:val="standardContextual"/>
        </w:rPr>
        <w:t>Forschungsdaten</w:t>
      </w:r>
      <w:r w:rsidR="007C0259"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 xml:space="preserve"> </w:t>
      </w:r>
      <w:r w:rsidR="001B4B42"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>werden</w:t>
      </w:r>
      <w:r w:rsidR="007C0259"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 xml:space="preserve"> dabei hier die in einem Forschungsprojekt erhobenen Daten</w:t>
      </w:r>
      <w:r w:rsidR="001B4B42"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 xml:space="preserve"> verstanden</w:t>
      </w:r>
      <w:r w:rsidR="007C0259"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 xml:space="preserve">, </w:t>
      </w:r>
      <w:r w:rsidR="00A51F4D"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 xml:space="preserve">die zu Beantwortung der Forschungsfrage ausgewertet werden, </w:t>
      </w:r>
      <w:r w:rsidR="007C0259"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>wie zum Beispiel Reaktionszeiten oder Grammatikalitätsurteile.</w:t>
      </w:r>
    </w:p>
    <w:p w14:paraId="476EB8D9" w14:textId="65B134E2" w:rsidR="006E59A3" w:rsidRPr="005A24B3" w:rsidRDefault="006E59A3" w:rsidP="00455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 xml:space="preserve">Daten sind </w:t>
      </w:r>
      <w:bookmarkStart w:id="2" w:name="_GoBack"/>
      <w:r w:rsidRPr="005A24B3">
        <w:rPr>
          <w:rFonts w:ascii="Times New Roman" w:eastAsiaTheme="minorHAnsi" w:hAnsi="Times New Roman" w:cs="Times New Roman"/>
          <w:b/>
          <w:kern w:val="2"/>
          <w:sz w:val="22"/>
          <w:szCs w:val="22"/>
          <w:lang w:eastAsia="en-US" w:bidi="ar-SA"/>
          <w14:ligatures w14:val="standardContextual"/>
        </w:rPr>
        <w:t>anonymisiert</w:t>
      </w:r>
      <w:bookmarkEnd w:id="2"/>
      <w:r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>, wenn eine Zuordnung zu einer Person nicht möglich ist. Wenn bei pseudonymisierten Daten die Zuordnungsliste vernichtet wurde, handelt es sich ab diesem Zeitpunkt um anonymisierte Daten.</w:t>
      </w:r>
    </w:p>
    <w:p w14:paraId="66E9A3E5" w14:textId="77777777" w:rsidR="006E59A3" w:rsidRPr="00AE5B8A" w:rsidRDefault="006E59A3" w:rsidP="00455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6451F1BC" w14:textId="1C2F0C73" w:rsidR="006E59A3" w:rsidRPr="00AE5B8A" w:rsidRDefault="006E59A3" w:rsidP="00455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AE5B8A">
        <w:rPr>
          <w:rFonts w:ascii="Times New Roman" w:hAnsi="Times New Roman" w:cs="Times New Roman"/>
          <w:sz w:val="22"/>
          <w:szCs w:val="22"/>
        </w:rPr>
        <w:t>Die Ethikkommission empfiehlt das folgende Vorgehen:</w:t>
      </w:r>
    </w:p>
    <w:p w14:paraId="5C5E3008" w14:textId="7015362B" w:rsidR="00C24E16" w:rsidRPr="00AE5B8A" w:rsidRDefault="00C24E16" w:rsidP="00C43A66">
      <w:pPr>
        <w:pStyle w:val="Listenabsatz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AE5B8A">
        <w:rPr>
          <w:rFonts w:ascii="Times New Roman" w:hAnsi="Times New Roman" w:cs="Times New Roman"/>
          <w:b/>
          <w:bCs/>
          <w:sz w:val="22"/>
          <w:szCs w:val="22"/>
        </w:rPr>
        <w:t>Personenbezogenen</w:t>
      </w:r>
      <w:r w:rsidRPr="00AE5B8A">
        <w:rPr>
          <w:rFonts w:ascii="Times New Roman" w:hAnsi="Times New Roman" w:cs="Times New Roman"/>
          <w:sz w:val="22"/>
          <w:szCs w:val="22"/>
        </w:rPr>
        <w:t xml:space="preserve"> Daten sollten gelöscht werden, sobald sie nicht mehr zur Rekrutierung der </w:t>
      </w:r>
      <w:r w:rsidR="00C43A66" w:rsidRPr="00AE5B8A">
        <w:rPr>
          <w:rFonts w:ascii="Times New Roman" w:hAnsi="Times New Roman" w:cs="Times New Roman"/>
          <w:sz w:val="22"/>
          <w:szCs w:val="22"/>
        </w:rPr>
        <w:t>Teilnehmenden</w:t>
      </w:r>
      <w:r w:rsidRPr="00AE5B8A">
        <w:rPr>
          <w:rFonts w:ascii="Times New Roman" w:hAnsi="Times New Roman" w:cs="Times New Roman"/>
          <w:sz w:val="22"/>
          <w:szCs w:val="22"/>
        </w:rPr>
        <w:t xml:space="preserve"> oder für Nachfragen benötigt werden. </w:t>
      </w:r>
    </w:p>
    <w:p w14:paraId="5220729E" w14:textId="6B4D0519" w:rsidR="00C24E16" w:rsidRPr="00AE5B8A" w:rsidRDefault="00C24E16" w:rsidP="00C43A66">
      <w:pPr>
        <w:pStyle w:val="Listenabsatz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AE5B8A">
        <w:rPr>
          <w:rFonts w:ascii="Times New Roman" w:hAnsi="Times New Roman" w:cs="Times New Roman"/>
          <w:sz w:val="22"/>
          <w:szCs w:val="22"/>
        </w:rPr>
        <w:t xml:space="preserve">Bei </w:t>
      </w:r>
      <w:r w:rsidRPr="00AE5B8A">
        <w:rPr>
          <w:rFonts w:ascii="Times New Roman" w:hAnsi="Times New Roman" w:cs="Times New Roman"/>
          <w:b/>
          <w:sz w:val="22"/>
          <w:szCs w:val="22"/>
        </w:rPr>
        <w:t>pseudonymisierten</w:t>
      </w:r>
      <w:r w:rsidRPr="00AE5B8A">
        <w:rPr>
          <w:rFonts w:ascii="Times New Roman" w:hAnsi="Times New Roman" w:cs="Times New Roman"/>
          <w:sz w:val="22"/>
          <w:szCs w:val="22"/>
        </w:rPr>
        <w:t xml:space="preserve"> Daten </w:t>
      </w:r>
      <w:r w:rsidR="00C43A66" w:rsidRPr="00AE5B8A">
        <w:rPr>
          <w:rFonts w:ascii="Times New Roman" w:hAnsi="Times New Roman" w:cs="Times New Roman"/>
          <w:sz w:val="22"/>
          <w:szCs w:val="22"/>
        </w:rPr>
        <w:t>empfiehlt die Kommission</w:t>
      </w:r>
      <w:r w:rsidRPr="00AE5B8A">
        <w:rPr>
          <w:rFonts w:ascii="Times New Roman" w:hAnsi="Times New Roman" w:cs="Times New Roman"/>
          <w:sz w:val="22"/>
          <w:szCs w:val="22"/>
        </w:rPr>
        <w:t>,</w:t>
      </w:r>
      <w:r w:rsidR="00C43A66" w:rsidRPr="00AE5B8A">
        <w:rPr>
          <w:rFonts w:ascii="Times New Roman" w:hAnsi="Times New Roman" w:cs="Times New Roman"/>
          <w:sz w:val="22"/>
          <w:szCs w:val="22"/>
        </w:rPr>
        <w:t xml:space="preserve"> die Zuordnungsliste zwischen Pseudonym und Namen getrennt von den </w:t>
      </w:r>
      <w:r w:rsidR="007C0259" w:rsidRPr="00AE5B8A">
        <w:rPr>
          <w:rFonts w:ascii="Times New Roman" w:hAnsi="Times New Roman" w:cs="Times New Roman"/>
          <w:sz w:val="22"/>
          <w:szCs w:val="22"/>
        </w:rPr>
        <w:t>Forschungsd</w:t>
      </w:r>
      <w:r w:rsidR="00C43A66" w:rsidRPr="00AE5B8A">
        <w:rPr>
          <w:rFonts w:ascii="Times New Roman" w:hAnsi="Times New Roman" w:cs="Times New Roman"/>
          <w:sz w:val="22"/>
          <w:szCs w:val="22"/>
        </w:rPr>
        <w:t>aten verschlossen aufzubewahren, nicht digital zu speichern, und die Liste sechs</w:t>
      </w:r>
      <w:r w:rsidRPr="00AE5B8A">
        <w:rPr>
          <w:rFonts w:ascii="Times New Roman" w:hAnsi="Times New Roman" w:cs="Times New Roman"/>
          <w:sz w:val="22"/>
          <w:szCs w:val="22"/>
        </w:rPr>
        <w:t xml:space="preserve"> Monate nach Beendigung des Projektes </w:t>
      </w:r>
      <w:r w:rsidR="00C43A66" w:rsidRPr="00AE5B8A">
        <w:rPr>
          <w:rFonts w:ascii="Times New Roman" w:hAnsi="Times New Roman" w:cs="Times New Roman"/>
          <w:sz w:val="22"/>
          <w:szCs w:val="22"/>
        </w:rPr>
        <w:t>zu vernichten.</w:t>
      </w:r>
    </w:p>
    <w:p w14:paraId="20C9E43F" w14:textId="00FAF423" w:rsidR="00113C74" w:rsidRPr="00AE5B8A" w:rsidRDefault="00C24E16" w:rsidP="00C43A66">
      <w:pPr>
        <w:pStyle w:val="Listenabsatz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AE5B8A">
        <w:rPr>
          <w:rFonts w:ascii="Times New Roman" w:hAnsi="Times New Roman" w:cs="Times New Roman"/>
          <w:sz w:val="22"/>
          <w:szCs w:val="22"/>
        </w:rPr>
        <w:t xml:space="preserve">Bei vollständig </w:t>
      </w:r>
      <w:r w:rsidR="00113C74" w:rsidRPr="00AE5B8A">
        <w:rPr>
          <w:rFonts w:ascii="Times New Roman" w:hAnsi="Times New Roman" w:cs="Times New Roman"/>
          <w:b/>
          <w:sz w:val="22"/>
          <w:szCs w:val="22"/>
        </w:rPr>
        <w:t>anonymisierte</w:t>
      </w:r>
      <w:r w:rsidR="00C43A66" w:rsidRPr="00AE5B8A">
        <w:rPr>
          <w:rFonts w:ascii="Times New Roman" w:hAnsi="Times New Roman" w:cs="Times New Roman"/>
          <w:b/>
          <w:sz w:val="22"/>
          <w:szCs w:val="22"/>
        </w:rPr>
        <w:t>n</w:t>
      </w:r>
      <w:r w:rsidR="00113C74" w:rsidRPr="00AE5B8A">
        <w:rPr>
          <w:rFonts w:ascii="Times New Roman" w:hAnsi="Times New Roman" w:cs="Times New Roman"/>
          <w:sz w:val="22"/>
          <w:szCs w:val="22"/>
        </w:rPr>
        <w:t xml:space="preserve"> </w:t>
      </w:r>
      <w:r w:rsidR="00C43A66" w:rsidRPr="00AE5B8A">
        <w:rPr>
          <w:rFonts w:ascii="Times New Roman" w:hAnsi="Times New Roman" w:cs="Times New Roman"/>
          <w:sz w:val="22"/>
          <w:szCs w:val="22"/>
        </w:rPr>
        <w:t>Forschungs</w:t>
      </w:r>
      <w:r w:rsidR="00113C74" w:rsidRPr="00AE5B8A">
        <w:rPr>
          <w:rFonts w:ascii="Times New Roman" w:hAnsi="Times New Roman" w:cs="Times New Roman"/>
          <w:sz w:val="22"/>
          <w:szCs w:val="22"/>
        </w:rPr>
        <w:t xml:space="preserve">daten </w:t>
      </w:r>
      <w:r w:rsidR="00C43A66" w:rsidRPr="00AE5B8A">
        <w:rPr>
          <w:rFonts w:ascii="Times New Roman" w:hAnsi="Times New Roman" w:cs="Times New Roman"/>
          <w:iCs/>
          <w:sz w:val="22"/>
          <w:szCs w:val="22"/>
        </w:rPr>
        <w:t>empfiehlt die Kommission</w:t>
      </w:r>
      <w:r w:rsidRPr="00AE5B8A">
        <w:rPr>
          <w:rFonts w:ascii="Times New Roman" w:hAnsi="Times New Roman" w:cs="Times New Roman"/>
          <w:iCs/>
          <w:sz w:val="22"/>
          <w:szCs w:val="22"/>
        </w:rPr>
        <w:t>, diese Daten nicht zu löschen, um eine weitere Verwendung für wissenschaftliche Zwecke zu ermöglichen und so dazu beizutragen, dass keine unnötigen zusätzlichen Datenerhebungen stattfinden müssen.</w:t>
      </w:r>
    </w:p>
    <w:p w14:paraId="7DC98E2A" w14:textId="5C242C30" w:rsidR="00C24E16" w:rsidRPr="00AE5B8A" w:rsidRDefault="00C24E16" w:rsidP="00C43A66">
      <w:pPr>
        <w:pStyle w:val="Listenabsatz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AE5B8A">
        <w:rPr>
          <w:rFonts w:ascii="Times New Roman" w:hAnsi="Times New Roman" w:cs="Times New Roman"/>
          <w:iCs/>
          <w:sz w:val="22"/>
          <w:szCs w:val="22"/>
        </w:rPr>
        <w:t xml:space="preserve">In allen Fällen </w:t>
      </w:r>
      <w:r w:rsidR="00C43A66" w:rsidRPr="00AE5B8A">
        <w:rPr>
          <w:rFonts w:ascii="Times New Roman" w:hAnsi="Times New Roman" w:cs="Times New Roman"/>
          <w:iCs/>
          <w:sz w:val="22"/>
          <w:szCs w:val="22"/>
        </w:rPr>
        <w:t>müssen</w:t>
      </w:r>
      <w:r w:rsidRPr="00AE5B8A">
        <w:rPr>
          <w:rFonts w:ascii="Times New Roman" w:hAnsi="Times New Roman" w:cs="Times New Roman"/>
          <w:iCs/>
          <w:sz w:val="22"/>
          <w:szCs w:val="22"/>
        </w:rPr>
        <w:t xml:space="preserve"> die Teilnehmenden über Ort und Art der Speicherung ihrer Daten und ihrer zukünftigen Nutzung informiert sein und ihr zugestimmt haben.</w:t>
      </w:r>
    </w:p>
    <w:p w14:paraId="2F406589" w14:textId="77777777" w:rsidR="00C24E16" w:rsidRPr="00AE5B8A" w:rsidRDefault="00C24E16" w:rsidP="00C43A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189B44E2" w14:textId="4C3F718C" w:rsidR="00113C74" w:rsidRPr="005A24B3" w:rsidRDefault="00C24E16" w:rsidP="00702B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>Wenn das empfohlene Vorgehen nicht möglich ist, beispielsweise, weil Kontaktdaten</w:t>
      </w:r>
      <w:r w:rsidR="00AE5B8A"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 xml:space="preserve"> über einen langen Zeitraum aufbewahrt werden sollen</w:t>
      </w:r>
      <w:r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 xml:space="preserve"> oder nicht </w:t>
      </w:r>
      <w:proofErr w:type="spellStart"/>
      <w:r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>anonymisierbare</w:t>
      </w:r>
      <w:proofErr w:type="spellEnd"/>
      <w:r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 xml:space="preserve"> </w:t>
      </w:r>
      <w:r w:rsidR="00A51F4D"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>Forschungsd</w:t>
      </w:r>
      <w:r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 xml:space="preserve">aten wie </w:t>
      </w:r>
      <w:r w:rsidR="00AE5B8A"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 xml:space="preserve">Tonaufnahmen oder </w:t>
      </w:r>
      <w:r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 xml:space="preserve">Videos </w:t>
      </w:r>
      <w:r w:rsidR="00AE5B8A"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>gespeichert</w:t>
      </w:r>
      <w:r w:rsidRPr="005A24B3">
        <w:rPr>
          <w:rFonts w:ascii="Times New Roman" w:eastAsiaTheme="minorHAnsi" w:hAnsi="Times New Roman" w:cs="Times New Roman"/>
          <w:kern w:val="2"/>
          <w:sz w:val="22"/>
          <w:szCs w:val="22"/>
          <w:lang w:eastAsia="en-US" w:bidi="ar-SA"/>
          <w14:ligatures w14:val="standardContextual"/>
        </w:rPr>
        <w:t xml:space="preserve"> werden sollen, muss im Antrag an die Ethikkommission erläutert werden, wie mit den Besonderheiten der Erhebung und Speicherung dieser Daten umgegangen werden soll.</w:t>
      </w:r>
      <w:bookmarkEnd w:id="0"/>
      <w:bookmarkEnd w:id="1"/>
    </w:p>
    <w:p w14:paraId="32F980D9" w14:textId="77777777" w:rsidR="00AE5B8A" w:rsidRPr="00AE5B8A" w:rsidRDefault="00AE5B8A" w:rsidP="00702B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C7714A7" w14:textId="22B71704" w:rsidR="00AE5B8A" w:rsidRPr="005A24B3" w:rsidRDefault="00AE5B8A" w:rsidP="005A24B3">
      <w:pPr>
        <w:pStyle w:val="Listenabsatz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Theme="minorHAnsi" w:hAnsi="Times New Roman" w:cs="Times New Roman"/>
          <w:b/>
          <w:kern w:val="2"/>
          <w:sz w:val="22"/>
          <w:szCs w:val="22"/>
          <w:lang w:eastAsia="en-US" w:bidi="ar-SA"/>
          <w14:ligatures w14:val="standardContextual"/>
        </w:rPr>
      </w:pPr>
      <w:r w:rsidRPr="005A24B3">
        <w:rPr>
          <w:rFonts w:ascii="Times New Roman" w:eastAsiaTheme="minorHAnsi" w:hAnsi="Times New Roman" w:cs="Times New Roman"/>
          <w:b/>
          <w:kern w:val="2"/>
          <w:sz w:val="22"/>
          <w:szCs w:val="22"/>
          <w:lang w:eastAsia="en-US" w:bidi="ar-SA"/>
          <w14:ligatures w14:val="standardContextual"/>
        </w:rPr>
        <w:t>Teilnahmeinformation und Einverständniserklärung</w:t>
      </w:r>
    </w:p>
    <w:p w14:paraId="0D1F6F28" w14:textId="77C12273" w:rsidR="00AE5B8A" w:rsidRPr="00AE5B8A" w:rsidRDefault="00AE5B8A" w:rsidP="00455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AE5B8A">
        <w:rPr>
          <w:rFonts w:ascii="Times New Roman" w:hAnsi="Times New Roman" w:cs="Times New Roman"/>
          <w:sz w:val="22"/>
          <w:szCs w:val="22"/>
        </w:rPr>
        <w:t>Ein</w:t>
      </w:r>
      <w:r>
        <w:rPr>
          <w:rFonts w:ascii="Times New Roman" w:hAnsi="Times New Roman" w:cs="Times New Roman"/>
          <w:sz w:val="22"/>
          <w:szCs w:val="22"/>
        </w:rPr>
        <w:t xml:space="preserve">e </w:t>
      </w:r>
      <w:r w:rsidRPr="00AE5B8A">
        <w:rPr>
          <w:rFonts w:ascii="Times New Roman" w:hAnsi="Times New Roman" w:cs="Times New Roman"/>
          <w:b/>
          <w:bCs/>
          <w:sz w:val="22"/>
          <w:szCs w:val="22"/>
        </w:rPr>
        <w:t>Teilnahmeinformation</w:t>
      </w:r>
      <w:r>
        <w:rPr>
          <w:rFonts w:ascii="Times New Roman" w:hAnsi="Times New Roman" w:cs="Times New Roman"/>
          <w:sz w:val="22"/>
          <w:szCs w:val="22"/>
        </w:rPr>
        <w:t>, also ein</w:t>
      </w:r>
      <w:r w:rsidRPr="00AE5B8A">
        <w:rPr>
          <w:rFonts w:ascii="Times New Roman" w:hAnsi="Times New Roman" w:cs="Times New Roman"/>
          <w:sz w:val="22"/>
          <w:szCs w:val="22"/>
        </w:rPr>
        <w:t xml:space="preserve"> Informationstext für die Studienteilnehm</w:t>
      </w:r>
      <w:r>
        <w:rPr>
          <w:rFonts w:ascii="Times New Roman" w:hAnsi="Times New Roman" w:cs="Times New Roman"/>
          <w:sz w:val="22"/>
          <w:szCs w:val="22"/>
        </w:rPr>
        <w:t xml:space="preserve">ende, </w:t>
      </w:r>
      <w:r w:rsidRPr="00AE5B8A">
        <w:rPr>
          <w:rFonts w:ascii="Times New Roman" w:hAnsi="Times New Roman" w:cs="Times New Roman"/>
          <w:sz w:val="22"/>
          <w:szCs w:val="22"/>
        </w:rPr>
        <w:t>muss der Ethikkommission vorgelegt werden; falls auch gesetzliche Vertreter*innen (z.B. Eltern) zustimmen müssen, ein weiterer Text für diese.</w:t>
      </w:r>
    </w:p>
    <w:p w14:paraId="0A2737F0" w14:textId="435EC024" w:rsidR="00AE5B8A" w:rsidRPr="00AE5B8A" w:rsidRDefault="00AE5B8A" w:rsidP="00455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AE5B8A">
        <w:rPr>
          <w:rFonts w:ascii="Times New Roman" w:hAnsi="Times New Roman" w:cs="Times New Roman"/>
          <w:sz w:val="22"/>
          <w:szCs w:val="22"/>
        </w:rPr>
        <w:t>Im Falle einer schrift</w:t>
      </w:r>
      <w:r w:rsidRPr="00AE5B8A">
        <w:rPr>
          <w:rFonts w:ascii="Times New Roman" w:hAnsi="Times New Roman" w:cs="Times New Roman"/>
          <w:sz w:val="22"/>
          <w:szCs w:val="22"/>
        </w:rPr>
        <w:softHyphen/>
        <w:t xml:space="preserve">lichen </w:t>
      </w:r>
      <w:r w:rsidRPr="00AE5B8A">
        <w:rPr>
          <w:rFonts w:ascii="Times New Roman" w:hAnsi="Times New Roman" w:cs="Times New Roman"/>
          <w:b/>
          <w:bCs/>
          <w:sz w:val="22"/>
          <w:szCs w:val="22"/>
        </w:rPr>
        <w:t>Einverständniserklärung</w:t>
      </w:r>
      <w:r w:rsidRPr="00AE5B8A">
        <w:rPr>
          <w:rFonts w:ascii="Times New Roman" w:hAnsi="Times New Roman" w:cs="Times New Roman"/>
          <w:sz w:val="22"/>
          <w:szCs w:val="22"/>
        </w:rPr>
        <w:t xml:space="preserve"> der Teilnehme</w:t>
      </w:r>
      <w:r>
        <w:rPr>
          <w:rFonts w:ascii="Times New Roman" w:hAnsi="Times New Roman" w:cs="Times New Roman"/>
          <w:sz w:val="22"/>
          <w:szCs w:val="22"/>
        </w:rPr>
        <w:t>nden</w:t>
      </w:r>
      <w:r w:rsidRPr="00AE5B8A">
        <w:rPr>
          <w:rFonts w:ascii="Times New Roman" w:hAnsi="Times New Roman" w:cs="Times New Roman"/>
          <w:sz w:val="22"/>
          <w:szCs w:val="22"/>
        </w:rPr>
        <w:t xml:space="preserve"> (und/oder deren gesetzlicher Vertreter*innen) muss auch diese eingereicht werden. Im Falle einer mündli</w:t>
      </w:r>
      <w:r w:rsidRPr="00AE5B8A">
        <w:rPr>
          <w:rFonts w:ascii="Times New Roman" w:hAnsi="Times New Roman" w:cs="Times New Roman"/>
          <w:sz w:val="22"/>
          <w:szCs w:val="22"/>
        </w:rPr>
        <w:softHyphen/>
        <w:t>chen Bereitschaftserklärung der Teilnehme</w:t>
      </w:r>
      <w:r>
        <w:rPr>
          <w:rFonts w:ascii="Times New Roman" w:hAnsi="Times New Roman" w:cs="Times New Roman"/>
          <w:sz w:val="22"/>
          <w:szCs w:val="22"/>
        </w:rPr>
        <w:t xml:space="preserve">nden </w:t>
      </w:r>
      <w:r w:rsidRPr="00AE5B8A">
        <w:rPr>
          <w:rFonts w:ascii="Times New Roman" w:hAnsi="Times New Roman" w:cs="Times New Roman"/>
          <w:sz w:val="22"/>
          <w:szCs w:val="22"/>
        </w:rPr>
        <w:t>gegen</w:t>
      </w:r>
      <w:r w:rsidRPr="00AE5B8A">
        <w:rPr>
          <w:rFonts w:ascii="Times New Roman" w:hAnsi="Times New Roman" w:cs="Times New Roman"/>
          <w:sz w:val="22"/>
          <w:szCs w:val="22"/>
        </w:rPr>
        <w:softHyphen/>
        <w:t>über der Versuchs</w:t>
      </w:r>
      <w:r w:rsidRPr="00AE5B8A">
        <w:rPr>
          <w:rFonts w:ascii="Times New Roman" w:hAnsi="Times New Roman" w:cs="Times New Roman"/>
          <w:sz w:val="22"/>
          <w:szCs w:val="22"/>
        </w:rPr>
        <w:softHyphen/>
        <w:t xml:space="preserve">leitung geben Sie bitte an, wie diese erfolgt und wie sie dokumentiert wird. </w:t>
      </w:r>
    </w:p>
    <w:p w14:paraId="1D99A8AA" w14:textId="0134E760" w:rsidR="00AE5B8A" w:rsidRPr="00AE5B8A" w:rsidRDefault="00AE5B8A" w:rsidP="00455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AE5B8A">
        <w:rPr>
          <w:rFonts w:ascii="Times New Roman" w:hAnsi="Times New Roman" w:cs="Times New Roman"/>
          <w:sz w:val="22"/>
          <w:szCs w:val="22"/>
        </w:rPr>
        <w:t xml:space="preserve">Falls die Teilnahmeinformation und </w:t>
      </w:r>
      <w:r>
        <w:rPr>
          <w:rFonts w:ascii="Times New Roman" w:hAnsi="Times New Roman" w:cs="Times New Roman"/>
          <w:sz w:val="22"/>
          <w:szCs w:val="22"/>
        </w:rPr>
        <w:t>Einverständnis</w:t>
      </w:r>
      <w:r w:rsidRPr="00AE5B8A">
        <w:rPr>
          <w:rFonts w:ascii="Times New Roman" w:hAnsi="Times New Roman" w:cs="Times New Roman"/>
          <w:sz w:val="22"/>
          <w:szCs w:val="22"/>
        </w:rPr>
        <w:t xml:space="preserve">erklärung </w:t>
      </w:r>
      <w:r w:rsidRPr="00AE5B8A">
        <w:rPr>
          <w:rFonts w:ascii="Times New Roman" w:hAnsi="Times New Roman" w:cs="Times New Roman"/>
          <w:b/>
          <w:bCs/>
          <w:sz w:val="22"/>
          <w:szCs w:val="22"/>
        </w:rPr>
        <w:t>nicht vor</w:t>
      </w:r>
      <w:r w:rsidRPr="00AE5B8A">
        <w:rPr>
          <w:rFonts w:ascii="Times New Roman" w:hAnsi="Times New Roman" w:cs="Times New Roman"/>
          <w:sz w:val="22"/>
          <w:szCs w:val="22"/>
        </w:rPr>
        <w:t xml:space="preserve"> einer Studie an die Teilneh</w:t>
      </w:r>
      <w:r>
        <w:rPr>
          <w:rFonts w:ascii="Times New Roman" w:hAnsi="Times New Roman" w:cs="Times New Roman"/>
          <w:sz w:val="22"/>
          <w:szCs w:val="22"/>
        </w:rPr>
        <w:t xml:space="preserve">menden </w:t>
      </w:r>
      <w:r w:rsidRPr="00AE5B8A">
        <w:rPr>
          <w:rFonts w:ascii="Times New Roman" w:hAnsi="Times New Roman" w:cs="Times New Roman"/>
          <w:sz w:val="22"/>
          <w:szCs w:val="22"/>
        </w:rPr>
        <w:t>ausgehändigt werden können (z. B. bei Analyse bestehender Datensätze aus sozialen Medien, Sammlung von Daten im öffentlichen Raum), ist hinreichend zu belegen, dass eine Bereitschaft der Teilnehme</w:t>
      </w:r>
      <w:r>
        <w:rPr>
          <w:rFonts w:ascii="Times New Roman" w:hAnsi="Times New Roman" w:cs="Times New Roman"/>
          <w:sz w:val="22"/>
          <w:szCs w:val="22"/>
        </w:rPr>
        <w:t>nden</w:t>
      </w:r>
      <w:r w:rsidRPr="00AE5B8A">
        <w:rPr>
          <w:rFonts w:ascii="Times New Roman" w:hAnsi="Times New Roman" w:cs="Times New Roman"/>
          <w:sz w:val="22"/>
          <w:szCs w:val="22"/>
        </w:rPr>
        <w:t xml:space="preserve"> zur Nutzung ihrer Daten angenommen werden kann (z.B. über AGBs sozialer Netzwerke).</w:t>
      </w:r>
    </w:p>
    <w:p w14:paraId="6E4371F1" w14:textId="77777777" w:rsidR="00AE5B8A" w:rsidRPr="00AE5B8A" w:rsidRDefault="00AE5B8A" w:rsidP="004551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2"/>
          <w:szCs w:val="22"/>
        </w:rPr>
      </w:pPr>
    </w:p>
    <w:sectPr w:rsidR="00AE5B8A" w:rsidRPr="00AE5B8A" w:rsidSect="005A24B3">
      <w:pgSz w:w="11906" w:h="16838"/>
      <w:pgMar w:top="1134" w:right="1134" w:bottom="1134" w:left="113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7A13F" w14:textId="77777777" w:rsidR="007B299E" w:rsidRDefault="007B299E">
      <w:pPr>
        <w:rPr>
          <w:rFonts w:hint="eastAsia"/>
        </w:rPr>
      </w:pPr>
      <w:r>
        <w:separator/>
      </w:r>
    </w:p>
  </w:endnote>
  <w:endnote w:type="continuationSeparator" w:id="0">
    <w:p w14:paraId="59DAE083" w14:textId="77777777" w:rsidR="007B299E" w:rsidRDefault="007B29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D4B8E" w14:textId="77777777" w:rsidR="007B299E" w:rsidRDefault="007B299E">
      <w:pPr>
        <w:rPr>
          <w:rFonts w:hint="eastAsia"/>
        </w:rPr>
      </w:pPr>
      <w:r>
        <w:separator/>
      </w:r>
    </w:p>
  </w:footnote>
  <w:footnote w:type="continuationSeparator" w:id="0">
    <w:p w14:paraId="0B75B456" w14:textId="77777777" w:rsidR="007B299E" w:rsidRDefault="007B299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0A7"/>
    <w:multiLevelType w:val="hybridMultilevel"/>
    <w:tmpl w:val="D3EC9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B06EF"/>
    <w:multiLevelType w:val="multilevel"/>
    <w:tmpl w:val="4F060C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AF73F1"/>
    <w:multiLevelType w:val="hybridMultilevel"/>
    <w:tmpl w:val="9AEAA900"/>
    <w:lvl w:ilvl="0" w:tplc="6EB0AD62">
      <w:start w:val="2"/>
      <w:numFmt w:val="decimal"/>
      <w:lvlText w:val="%1."/>
      <w:lvlJc w:val="left"/>
      <w:pPr>
        <w:ind w:left="435" w:hanging="360"/>
      </w:pPr>
      <w:rPr>
        <w:rFonts w:eastAsia="Arial" w:hint="default"/>
        <w:b/>
        <w:color w:val="000000"/>
      </w:rPr>
    </w:lvl>
    <w:lvl w:ilvl="1" w:tplc="FABE185A">
      <w:numFmt w:val="bullet"/>
      <w:lvlText w:val="-"/>
      <w:lvlJc w:val="left"/>
      <w:pPr>
        <w:ind w:left="1155" w:hanging="360"/>
      </w:pPr>
      <w:rPr>
        <w:rFonts w:ascii="Times New Roman" w:eastAsia="SimSu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1875" w:hanging="180"/>
      </w:pPr>
    </w:lvl>
    <w:lvl w:ilvl="3" w:tplc="0407000F" w:tentative="1">
      <w:start w:val="1"/>
      <w:numFmt w:val="decimal"/>
      <w:lvlText w:val="%4."/>
      <w:lvlJc w:val="left"/>
      <w:pPr>
        <w:ind w:left="2595" w:hanging="360"/>
      </w:pPr>
    </w:lvl>
    <w:lvl w:ilvl="4" w:tplc="04070019" w:tentative="1">
      <w:start w:val="1"/>
      <w:numFmt w:val="lowerLetter"/>
      <w:lvlText w:val="%5."/>
      <w:lvlJc w:val="left"/>
      <w:pPr>
        <w:ind w:left="3315" w:hanging="360"/>
      </w:pPr>
    </w:lvl>
    <w:lvl w:ilvl="5" w:tplc="0407001B" w:tentative="1">
      <w:start w:val="1"/>
      <w:numFmt w:val="lowerRoman"/>
      <w:lvlText w:val="%6."/>
      <w:lvlJc w:val="right"/>
      <w:pPr>
        <w:ind w:left="4035" w:hanging="180"/>
      </w:pPr>
    </w:lvl>
    <w:lvl w:ilvl="6" w:tplc="0407000F" w:tentative="1">
      <w:start w:val="1"/>
      <w:numFmt w:val="decimal"/>
      <w:lvlText w:val="%7."/>
      <w:lvlJc w:val="left"/>
      <w:pPr>
        <w:ind w:left="4755" w:hanging="360"/>
      </w:pPr>
    </w:lvl>
    <w:lvl w:ilvl="7" w:tplc="04070019" w:tentative="1">
      <w:start w:val="1"/>
      <w:numFmt w:val="lowerLetter"/>
      <w:lvlText w:val="%8."/>
      <w:lvlJc w:val="left"/>
      <w:pPr>
        <w:ind w:left="5475" w:hanging="360"/>
      </w:pPr>
    </w:lvl>
    <w:lvl w:ilvl="8" w:tplc="040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A9A08E1"/>
    <w:multiLevelType w:val="hybridMultilevel"/>
    <w:tmpl w:val="A1E8B83E"/>
    <w:lvl w:ilvl="0" w:tplc="6BF8960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5" w:hanging="360"/>
      </w:pPr>
    </w:lvl>
    <w:lvl w:ilvl="2" w:tplc="0407001B" w:tentative="1">
      <w:start w:val="1"/>
      <w:numFmt w:val="lowerRoman"/>
      <w:lvlText w:val="%3."/>
      <w:lvlJc w:val="right"/>
      <w:pPr>
        <w:ind w:left="1875" w:hanging="180"/>
      </w:pPr>
    </w:lvl>
    <w:lvl w:ilvl="3" w:tplc="0407000F" w:tentative="1">
      <w:start w:val="1"/>
      <w:numFmt w:val="decimal"/>
      <w:lvlText w:val="%4."/>
      <w:lvlJc w:val="left"/>
      <w:pPr>
        <w:ind w:left="2595" w:hanging="360"/>
      </w:pPr>
    </w:lvl>
    <w:lvl w:ilvl="4" w:tplc="04070019" w:tentative="1">
      <w:start w:val="1"/>
      <w:numFmt w:val="lowerLetter"/>
      <w:lvlText w:val="%5."/>
      <w:lvlJc w:val="left"/>
      <w:pPr>
        <w:ind w:left="3315" w:hanging="360"/>
      </w:pPr>
    </w:lvl>
    <w:lvl w:ilvl="5" w:tplc="0407001B" w:tentative="1">
      <w:start w:val="1"/>
      <w:numFmt w:val="lowerRoman"/>
      <w:lvlText w:val="%6."/>
      <w:lvlJc w:val="right"/>
      <w:pPr>
        <w:ind w:left="4035" w:hanging="180"/>
      </w:pPr>
    </w:lvl>
    <w:lvl w:ilvl="6" w:tplc="0407000F" w:tentative="1">
      <w:start w:val="1"/>
      <w:numFmt w:val="decimal"/>
      <w:lvlText w:val="%7."/>
      <w:lvlJc w:val="left"/>
      <w:pPr>
        <w:ind w:left="4755" w:hanging="360"/>
      </w:pPr>
    </w:lvl>
    <w:lvl w:ilvl="7" w:tplc="04070019" w:tentative="1">
      <w:start w:val="1"/>
      <w:numFmt w:val="lowerLetter"/>
      <w:lvlText w:val="%8."/>
      <w:lvlJc w:val="left"/>
      <w:pPr>
        <w:ind w:left="5475" w:hanging="360"/>
      </w:pPr>
    </w:lvl>
    <w:lvl w:ilvl="8" w:tplc="040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3128DE92"/>
    <w:multiLevelType w:val="multilevel"/>
    <w:tmpl w:val="882807AC"/>
    <w:lvl w:ilvl="0">
      <w:start w:val="1"/>
      <w:numFmt w:val="decimal"/>
      <w:lvlText w:val="%1"/>
      <w:lvlJc w:val="left"/>
      <w:pPr>
        <w:ind w:left="1421" w:hanging="570"/>
      </w:pPr>
    </w:lvl>
    <w:lvl w:ilvl="1">
      <w:start w:val="1"/>
      <w:numFmt w:val="decimal"/>
      <w:lvlText w:val="%1.%2"/>
      <w:lvlJc w:val="left"/>
      <w:pPr>
        <w:ind w:left="1138" w:hanging="570"/>
      </w:pPr>
    </w:lvl>
    <w:lvl w:ilvl="2">
      <w:start w:val="1"/>
      <w:numFmt w:val="lowerLetter"/>
      <w:lvlText w:val="(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35B34B23"/>
    <w:multiLevelType w:val="hybridMultilevel"/>
    <w:tmpl w:val="CAAE1308"/>
    <w:lvl w:ilvl="0" w:tplc="406AA7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LMU CompatilFac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B19D4"/>
    <w:multiLevelType w:val="hybridMultilevel"/>
    <w:tmpl w:val="C7545A80"/>
    <w:lvl w:ilvl="0" w:tplc="57802592">
      <w:start w:val="3"/>
      <w:numFmt w:val="decimal"/>
      <w:lvlText w:val="%1."/>
      <w:lvlJc w:val="left"/>
      <w:pPr>
        <w:ind w:left="435" w:hanging="360"/>
      </w:pPr>
      <w:rPr>
        <w:rFonts w:eastAsia="Arial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155" w:hanging="360"/>
      </w:pPr>
    </w:lvl>
    <w:lvl w:ilvl="2" w:tplc="0407001B" w:tentative="1">
      <w:start w:val="1"/>
      <w:numFmt w:val="lowerRoman"/>
      <w:lvlText w:val="%3."/>
      <w:lvlJc w:val="right"/>
      <w:pPr>
        <w:ind w:left="1875" w:hanging="180"/>
      </w:pPr>
    </w:lvl>
    <w:lvl w:ilvl="3" w:tplc="0407000F" w:tentative="1">
      <w:start w:val="1"/>
      <w:numFmt w:val="decimal"/>
      <w:lvlText w:val="%4."/>
      <w:lvlJc w:val="left"/>
      <w:pPr>
        <w:ind w:left="2595" w:hanging="360"/>
      </w:pPr>
    </w:lvl>
    <w:lvl w:ilvl="4" w:tplc="04070019" w:tentative="1">
      <w:start w:val="1"/>
      <w:numFmt w:val="lowerLetter"/>
      <w:lvlText w:val="%5."/>
      <w:lvlJc w:val="left"/>
      <w:pPr>
        <w:ind w:left="3315" w:hanging="360"/>
      </w:pPr>
    </w:lvl>
    <w:lvl w:ilvl="5" w:tplc="0407001B" w:tentative="1">
      <w:start w:val="1"/>
      <w:numFmt w:val="lowerRoman"/>
      <w:lvlText w:val="%6."/>
      <w:lvlJc w:val="right"/>
      <w:pPr>
        <w:ind w:left="4035" w:hanging="180"/>
      </w:pPr>
    </w:lvl>
    <w:lvl w:ilvl="6" w:tplc="0407000F" w:tentative="1">
      <w:start w:val="1"/>
      <w:numFmt w:val="decimal"/>
      <w:lvlText w:val="%7."/>
      <w:lvlJc w:val="left"/>
      <w:pPr>
        <w:ind w:left="4755" w:hanging="360"/>
      </w:pPr>
    </w:lvl>
    <w:lvl w:ilvl="7" w:tplc="04070019" w:tentative="1">
      <w:start w:val="1"/>
      <w:numFmt w:val="lowerLetter"/>
      <w:lvlText w:val="%8."/>
      <w:lvlJc w:val="left"/>
      <w:pPr>
        <w:ind w:left="5475" w:hanging="360"/>
      </w:pPr>
    </w:lvl>
    <w:lvl w:ilvl="8" w:tplc="040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4CB702C3"/>
    <w:multiLevelType w:val="multilevel"/>
    <w:tmpl w:val="99140C8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0A87FDD"/>
    <w:multiLevelType w:val="hybridMultilevel"/>
    <w:tmpl w:val="9A867DA4"/>
    <w:lvl w:ilvl="0" w:tplc="BE5C8A36">
      <w:numFmt w:val="bullet"/>
      <w:lvlText w:val="-"/>
      <w:lvlJc w:val="left"/>
      <w:pPr>
        <w:ind w:left="435" w:hanging="360"/>
      </w:pPr>
      <w:rPr>
        <w:rFonts w:ascii="Times New Roman" w:eastAsia="SimSu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5AEA14B9"/>
    <w:multiLevelType w:val="hybridMultilevel"/>
    <w:tmpl w:val="A768AF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50DE9"/>
    <w:multiLevelType w:val="multilevel"/>
    <w:tmpl w:val="8544F15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10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E5"/>
    <w:rsid w:val="00002261"/>
    <w:rsid w:val="00113C74"/>
    <w:rsid w:val="001B4B42"/>
    <w:rsid w:val="001F2049"/>
    <w:rsid w:val="002549E5"/>
    <w:rsid w:val="002F4C8A"/>
    <w:rsid w:val="00453A1A"/>
    <w:rsid w:val="004551F9"/>
    <w:rsid w:val="004B4670"/>
    <w:rsid w:val="004D6474"/>
    <w:rsid w:val="005A24B3"/>
    <w:rsid w:val="00622BEB"/>
    <w:rsid w:val="006726D3"/>
    <w:rsid w:val="006C61A9"/>
    <w:rsid w:val="006E59A3"/>
    <w:rsid w:val="006E73ED"/>
    <w:rsid w:val="00702B80"/>
    <w:rsid w:val="00717A1D"/>
    <w:rsid w:val="00752E37"/>
    <w:rsid w:val="007720F6"/>
    <w:rsid w:val="007B299E"/>
    <w:rsid w:val="007C0259"/>
    <w:rsid w:val="008252B8"/>
    <w:rsid w:val="008825E6"/>
    <w:rsid w:val="008E0B86"/>
    <w:rsid w:val="00A5044A"/>
    <w:rsid w:val="00A51F4D"/>
    <w:rsid w:val="00AA0308"/>
    <w:rsid w:val="00AE5B8A"/>
    <w:rsid w:val="00BD2B50"/>
    <w:rsid w:val="00C24E16"/>
    <w:rsid w:val="00C43A66"/>
    <w:rsid w:val="00CA73C9"/>
    <w:rsid w:val="00CC7779"/>
    <w:rsid w:val="00D03B30"/>
    <w:rsid w:val="00D610FE"/>
    <w:rsid w:val="00E202B2"/>
    <w:rsid w:val="00E7595D"/>
    <w:rsid w:val="00F77967"/>
    <w:rsid w:val="00F80309"/>
    <w:rsid w:val="00F8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DCE5"/>
  <w15:docId w15:val="{2646D328-F5F6-4A23-9DC7-5C827561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widowControl w:val="0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3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LokalAdmin (added by ITg)</dc:creator>
  <cp:lastModifiedBy>LokalAdmin (added by ITg)</cp:lastModifiedBy>
  <cp:revision>3</cp:revision>
  <dcterms:created xsi:type="dcterms:W3CDTF">2025-11-22T14:32:00Z</dcterms:created>
  <dcterms:modified xsi:type="dcterms:W3CDTF">2025-11-22T16:17:00Z</dcterms:modified>
  <dc:language>de-DE</dc:language>
</cp:coreProperties>
</file>